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ind w:left="-1275.5905511811022" w:right="427.7952755905511" w:hanging="15"/>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Fair Work Amendment (Protecting Christmas) Bill 2019</w:t>
      </w:r>
    </w:p>
    <w:p w:rsidR="00000000" w:rsidDel="00000000" w:rsidP="00000000" w:rsidRDefault="00000000" w:rsidRPr="00000000" w14:paraId="00000002">
      <w:pPr>
        <w:spacing w:line="276" w:lineRule="auto"/>
        <w:ind w:left="-1275.5905511811022" w:right="427.7952755905511" w:hanging="15"/>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No. , 2019</w:t>
      </w:r>
    </w:p>
    <w:p w:rsidR="00000000" w:rsidDel="00000000" w:rsidP="00000000" w:rsidRDefault="00000000" w:rsidRPr="00000000" w14:paraId="00000003">
      <w:pPr>
        <w:spacing w:line="276" w:lineRule="auto"/>
        <w:ind w:left="-1275.5905511811022" w:right="427.7952755905511" w:hanging="15"/>
        <w:rPr>
          <w:rFonts w:ascii="Arial" w:cs="Arial" w:eastAsia="Arial" w:hAnsi="Arial"/>
          <w:sz w:val="24"/>
          <w:szCs w:val="24"/>
        </w:rPr>
      </w:pPr>
      <w:r w:rsidDel="00000000" w:rsidR="00000000" w:rsidRPr="00000000">
        <w:rPr>
          <w:rFonts w:ascii="Arial" w:cs="Arial" w:eastAsia="Arial" w:hAnsi="Arial"/>
          <w:sz w:val="24"/>
          <w:szCs w:val="24"/>
          <w:rtl w:val="0"/>
        </w:rPr>
        <w:t xml:space="preserve">Written by Bsharri MP</w:t>
      </w:r>
    </w:p>
    <w:p w:rsidR="00000000" w:rsidDel="00000000" w:rsidP="00000000" w:rsidRDefault="00000000" w:rsidRPr="00000000" w14:paraId="00000004">
      <w:pPr>
        <w:spacing w:line="276" w:lineRule="auto"/>
        <w:ind w:left="-1275.5905511811022" w:right="427.7952755905511" w:hanging="15"/>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5">
      <w:pPr>
        <w:spacing w:line="276" w:lineRule="auto"/>
        <w:ind w:left="-1275.5905511811022" w:right="427.7952755905511" w:hanging="15"/>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 Bill for an Act to amend the </w:t>
      </w:r>
      <w:r w:rsidDel="00000000" w:rsidR="00000000" w:rsidRPr="00000000">
        <w:rPr>
          <w:rFonts w:ascii="Arial" w:cs="Arial" w:eastAsia="Arial" w:hAnsi="Arial"/>
          <w:b w:val="1"/>
          <w:i w:val="1"/>
          <w:sz w:val="32"/>
          <w:szCs w:val="32"/>
          <w:rtl w:val="0"/>
        </w:rPr>
        <w:t xml:space="preserve">Fair Work Act 2009</w:t>
      </w:r>
      <w:r w:rsidDel="00000000" w:rsidR="00000000" w:rsidRPr="00000000">
        <w:rPr>
          <w:rFonts w:ascii="Arial" w:cs="Arial" w:eastAsia="Arial" w:hAnsi="Arial"/>
          <w:b w:val="1"/>
          <w:sz w:val="32"/>
          <w:szCs w:val="32"/>
          <w:rtl w:val="0"/>
        </w:rPr>
        <w:t xml:space="preserve">, and for related purposes.</w:t>
      </w:r>
    </w:p>
    <w:p w:rsidR="00000000" w:rsidDel="00000000" w:rsidP="00000000" w:rsidRDefault="00000000" w:rsidRPr="00000000" w14:paraId="00000006">
      <w:pPr>
        <w:spacing w:line="276" w:lineRule="auto"/>
        <w:ind w:left="-1275.5905511811022" w:right="427.7952755905511" w:hanging="15"/>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spacing w:line="276" w:lineRule="auto"/>
        <w:ind w:left="-1275.5905511811022" w:right="427.7952755905511" w:hanging="15"/>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Explanatory Memorandum</w:t>
      </w:r>
    </w:p>
    <w:p w:rsidR="00000000" w:rsidDel="00000000" w:rsidP="00000000" w:rsidRDefault="00000000" w:rsidRPr="00000000" w14:paraId="00000008">
      <w:pPr>
        <w:spacing w:line="276" w:lineRule="auto"/>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line="276" w:lineRule="auto"/>
        <w:ind w:left="-1275.5905511811022" w:right="427.7952755905511" w:hanging="15"/>
        <w:rPr>
          <w:rFonts w:ascii="Arial" w:cs="Arial" w:eastAsia="Arial" w:hAnsi="Arial"/>
          <w:sz w:val="24"/>
          <w:szCs w:val="24"/>
        </w:rPr>
      </w:pPr>
      <w:r w:rsidDel="00000000" w:rsidR="00000000" w:rsidRPr="00000000">
        <w:rPr>
          <w:rFonts w:ascii="Arial" w:cs="Arial" w:eastAsia="Arial" w:hAnsi="Arial"/>
          <w:sz w:val="24"/>
          <w:szCs w:val="24"/>
          <w:rtl w:val="0"/>
        </w:rPr>
        <w:t xml:space="preserve">This Bill amends the Fair Work Act 2009 to insert protections guaranteeing that our public holidays, particularly Christmas, are periods of rest and relaxation for Australian workers, ensuring that those who do choose or are forced to work on those days will have a guaranteed full rate of pay appropriate for a public holiday.</w:t>
      </w:r>
    </w:p>
    <w:p w:rsidR="00000000" w:rsidDel="00000000" w:rsidP="00000000" w:rsidRDefault="00000000" w:rsidRPr="00000000" w14:paraId="0000000A">
      <w:pPr>
        <w:spacing w:line="276" w:lineRule="auto"/>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line="276" w:lineRule="auto"/>
        <w:ind w:left="-1275.5905511811022" w:right="427.7952755905511" w:hanging="15"/>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Second Reading Speech</w:t>
      </w:r>
    </w:p>
    <w:p w:rsidR="00000000" w:rsidDel="00000000" w:rsidP="00000000" w:rsidRDefault="00000000" w:rsidRPr="00000000" w14:paraId="0000000C">
      <w:pPr>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ind w:left="-1275.5905511811022" w:right="427.7952755905511" w:hanging="15"/>
        <w:rPr>
          <w:rFonts w:ascii="Arial" w:cs="Arial" w:eastAsia="Arial" w:hAnsi="Arial"/>
          <w:sz w:val="24"/>
          <w:szCs w:val="24"/>
        </w:rPr>
      </w:pPr>
      <w:r w:rsidDel="00000000" w:rsidR="00000000" w:rsidRPr="00000000">
        <w:rPr>
          <w:rFonts w:ascii="Arial" w:cs="Arial" w:eastAsia="Arial" w:hAnsi="Arial"/>
          <w:sz w:val="24"/>
          <w:szCs w:val="24"/>
          <w:rtl w:val="0"/>
        </w:rPr>
        <w:t xml:space="preserve">Mr Speaker,</w:t>
      </w:r>
    </w:p>
    <w:p w:rsidR="00000000" w:rsidDel="00000000" w:rsidP="00000000" w:rsidRDefault="00000000" w:rsidRPr="00000000" w14:paraId="0000000E">
      <w:pPr>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ind w:left="-1275.5905511811022" w:right="427.7952755905511" w:hanging="15"/>
        <w:rPr>
          <w:rFonts w:ascii="Arial" w:cs="Arial" w:eastAsia="Arial" w:hAnsi="Arial"/>
          <w:sz w:val="24"/>
          <w:szCs w:val="24"/>
        </w:rPr>
      </w:pPr>
      <w:r w:rsidDel="00000000" w:rsidR="00000000" w:rsidRPr="00000000">
        <w:rPr>
          <w:rFonts w:ascii="Arial" w:cs="Arial" w:eastAsia="Arial" w:hAnsi="Arial"/>
          <w:sz w:val="24"/>
          <w:szCs w:val="24"/>
          <w:rtl w:val="0"/>
        </w:rPr>
        <w:t xml:space="preserve">There is a war against Christmas. No, it is not waged by the secular left against Christianity or religious institutions, but by Australian bosses who exploit young Australian workers by not paying them penalty rates on Christmas, and the state and territory governments who have allowed them to get away with this.</w:t>
      </w:r>
    </w:p>
    <w:p w:rsidR="00000000" w:rsidDel="00000000" w:rsidP="00000000" w:rsidRDefault="00000000" w:rsidRPr="00000000" w14:paraId="00000010">
      <w:pPr>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ind w:left="-1275.5905511811022" w:right="427.7952755905511" w:hanging="15"/>
        <w:rPr>
          <w:rFonts w:ascii="Arial" w:cs="Arial" w:eastAsia="Arial" w:hAnsi="Arial"/>
          <w:sz w:val="24"/>
          <w:szCs w:val="24"/>
        </w:rPr>
      </w:pPr>
      <w:r w:rsidDel="00000000" w:rsidR="00000000" w:rsidRPr="00000000">
        <w:rPr>
          <w:rFonts w:ascii="Arial" w:cs="Arial" w:eastAsia="Arial" w:hAnsi="Arial"/>
          <w:sz w:val="24"/>
          <w:szCs w:val="24"/>
          <w:rtl w:val="0"/>
        </w:rPr>
        <w:t xml:space="preserve">When Christmas falls on a weekend, the states and territories are empowered to substitute the public holiday for another day. All states and territories do this by making the next available weekday a public holiday, while also maintaining Christmas itself as a public holiday. This means that people who end up working on Christmas itself receive the proper full rate of pay for a public holiday instead of regular weekend rates. </w:t>
      </w:r>
    </w:p>
    <w:p w:rsidR="00000000" w:rsidDel="00000000" w:rsidP="00000000" w:rsidRDefault="00000000" w:rsidRPr="00000000" w14:paraId="00000012">
      <w:pPr>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ind w:left="-1275.5905511811022" w:right="427.7952755905511" w:hanging="15"/>
        <w:rPr>
          <w:rFonts w:ascii="Arial" w:cs="Arial" w:eastAsia="Arial" w:hAnsi="Arial"/>
          <w:sz w:val="24"/>
          <w:szCs w:val="24"/>
        </w:rPr>
      </w:pPr>
      <w:r w:rsidDel="00000000" w:rsidR="00000000" w:rsidRPr="00000000">
        <w:rPr>
          <w:rFonts w:ascii="Arial" w:cs="Arial" w:eastAsia="Arial" w:hAnsi="Arial"/>
          <w:sz w:val="24"/>
          <w:szCs w:val="24"/>
          <w:rtl w:val="0"/>
        </w:rPr>
        <w:t xml:space="preserve">However, in the past some states have taken the extraordinary and outrageous step of refusing to also make Christmas itself a public holiday. The Victorian Labour government did this in 2016, resulting in Victorian workers not receiving any Christmas day public holiday penalty rates that year.</w:t>
      </w:r>
    </w:p>
    <w:p w:rsidR="00000000" w:rsidDel="00000000" w:rsidP="00000000" w:rsidRDefault="00000000" w:rsidRPr="00000000" w14:paraId="00000014">
      <w:pPr>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ind w:left="-1275.5905511811022" w:right="427.7952755905511" w:hanging="15"/>
        <w:rPr>
          <w:rFonts w:ascii="Arial" w:cs="Arial" w:eastAsia="Arial" w:hAnsi="Arial"/>
          <w:sz w:val="24"/>
          <w:szCs w:val="24"/>
        </w:rPr>
      </w:pPr>
      <w:r w:rsidDel="00000000" w:rsidR="00000000" w:rsidRPr="00000000">
        <w:rPr>
          <w:rFonts w:ascii="Arial" w:cs="Arial" w:eastAsia="Arial" w:hAnsi="Arial"/>
          <w:sz w:val="24"/>
          <w:szCs w:val="24"/>
          <w:rtl w:val="0"/>
        </w:rPr>
        <w:t xml:space="preserve">We need to put this to a stop once and for all and make sure it never happens again via this federal legislation that makes sure Christmas and our other national holidays are actually respected by all state and territory governments. </w:t>
      </w:r>
    </w:p>
    <w:p w:rsidR="00000000" w:rsidDel="00000000" w:rsidP="00000000" w:rsidRDefault="00000000" w:rsidRPr="00000000" w14:paraId="00000016">
      <w:pPr>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ind w:left="-1275.5905511811022" w:right="427.7952755905511" w:hanging="15"/>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B">
      <w:pPr>
        <w:ind w:left="-1275.5905511811022" w:right="427.7952755905511" w:hanging="15"/>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C">
      <w:pPr>
        <w:ind w:left="-1275.5905511811022" w:right="427.7952755905511" w:hanging="15"/>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The Parliament of AustraliaSim enacts the following</w:t>
      </w:r>
    </w:p>
    <w:p w:rsidR="00000000" w:rsidDel="00000000" w:rsidP="00000000" w:rsidRDefault="00000000" w:rsidRPr="00000000" w14:paraId="0000001D">
      <w:pPr>
        <w:spacing w:line="276" w:lineRule="auto"/>
        <w:ind w:left="-1275.5905511811022" w:right="427.7952755905511" w:hanging="15"/>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E">
      <w:pPr>
        <w:spacing w:line="276" w:lineRule="auto"/>
        <w:ind w:left="-1275.5905511811022" w:right="427.7952755905511" w:hanging="15"/>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PART 1 - PRELIMINARY</w:t>
      </w:r>
    </w:p>
    <w:p w:rsidR="00000000" w:rsidDel="00000000" w:rsidP="00000000" w:rsidRDefault="00000000" w:rsidRPr="00000000" w14:paraId="0000001F">
      <w:pPr>
        <w:spacing w:line="276" w:lineRule="auto"/>
        <w:ind w:left="-1275.5905511811022" w:right="427.7952755905511" w:hanging="15"/>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20">
      <w:pPr>
        <w:spacing w:line="276" w:lineRule="auto"/>
        <w:ind w:left="-1275.5905511811022" w:right="427.7952755905511" w:hanging="15"/>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1. Short Title</w:t>
      </w:r>
    </w:p>
    <w:p w:rsidR="00000000" w:rsidDel="00000000" w:rsidP="00000000" w:rsidRDefault="00000000" w:rsidRPr="00000000" w14:paraId="00000021">
      <w:pPr>
        <w:spacing w:line="276" w:lineRule="auto"/>
        <w:ind w:left="-1275.5905511811022" w:right="427.7952755905511" w:hanging="15"/>
        <w:rPr>
          <w:rFonts w:ascii="Arial" w:cs="Arial" w:eastAsia="Arial" w:hAnsi="Arial"/>
          <w:i w:val="1"/>
          <w:sz w:val="24"/>
          <w:szCs w:val="24"/>
        </w:rPr>
      </w:pPr>
      <w:r w:rsidDel="00000000" w:rsidR="00000000" w:rsidRPr="00000000">
        <w:rPr>
          <w:rFonts w:ascii="Arial" w:cs="Arial" w:eastAsia="Arial" w:hAnsi="Arial"/>
          <w:sz w:val="24"/>
          <w:szCs w:val="24"/>
          <w:rtl w:val="0"/>
        </w:rPr>
        <w:t xml:space="preserve">This Act may be cited as the </w:t>
      </w:r>
      <w:r w:rsidDel="00000000" w:rsidR="00000000" w:rsidRPr="00000000">
        <w:rPr>
          <w:rFonts w:ascii="Arial" w:cs="Arial" w:eastAsia="Arial" w:hAnsi="Arial"/>
          <w:i w:val="1"/>
          <w:sz w:val="24"/>
          <w:szCs w:val="24"/>
          <w:rtl w:val="0"/>
        </w:rPr>
        <w:t xml:space="preserve">Fair Work Amendment (Protecting Christmas) Act 2019.</w:t>
      </w:r>
    </w:p>
    <w:p w:rsidR="00000000" w:rsidDel="00000000" w:rsidP="00000000" w:rsidRDefault="00000000" w:rsidRPr="00000000" w14:paraId="00000022">
      <w:pPr>
        <w:spacing w:line="276" w:lineRule="auto"/>
        <w:ind w:left="-1275.5905511811022" w:right="427.7952755905511" w:hanging="15"/>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line="276" w:lineRule="auto"/>
        <w:ind w:left="-1275.5905511811022" w:right="427.7952755905511" w:hanging="15"/>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2. Commencement</w:t>
      </w:r>
    </w:p>
    <w:p w:rsidR="00000000" w:rsidDel="00000000" w:rsidP="00000000" w:rsidRDefault="00000000" w:rsidRPr="00000000" w14:paraId="00000024">
      <w:pPr>
        <w:spacing w:line="276" w:lineRule="auto"/>
        <w:ind w:left="-1275.5905511811022" w:right="427.7952755905511" w:hanging="15"/>
        <w:rPr>
          <w:rFonts w:ascii="Arial" w:cs="Arial" w:eastAsia="Arial" w:hAnsi="Arial"/>
          <w:sz w:val="24"/>
          <w:szCs w:val="24"/>
        </w:rPr>
      </w:pPr>
      <w:r w:rsidDel="00000000" w:rsidR="00000000" w:rsidRPr="00000000">
        <w:rPr>
          <w:rFonts w:ascii="Arial" w:cs="Arial" w:eastAsia="Arial" w:hAnsi="Arial"/>
          <w:sz w:val="24"/>
          <w:szCs w:val="24"/>
          <w:rtl w:val="0"/>
        </w:rPr>
        <w:t xml:space="preserve">This Act is to commence on the day it receives Royal assent. </w:t>
      </w:r>
    </w:p>
    <w:p w:rsidR="00000000" w:rsidDel="00000000" w:rsidP="00000000" w:rsidRDefault="00000000" w:rsidRPr="00000000" w14:paraId="00000025">
      <w:pPr>
        <w:spacing w:line="276" w:lineRule="auto"/>
        <w:ind w:left="-1275.5905511811022" w:right="427.7952755905511" w:hanging="15"/>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6">
      <w:pPr>
        <w:spacing w:line="276" w:lineRule="auto"/>
        <w:ind w:left="-1275.5905511811022" w:right="427.7952755905511" w:hanging="15"/>
        <w:rPr>
          <w:rFonts w:ascii="Arial" w:cs="Arial" w:eastAsia="Arial" w:hAnsi="Arial"/>
          <w:b w:val="1"/>
          <w:sz w:val="24"/>
          <w:szCs w:val="24"/>
        </w:rPr>
      </w:pPr>
      <w:r w:rsidDel="00000000" w:rsidR="00000000" w:rsidRPr="00000000">
        <w:rPr>
          <w:rFonts w:ascii="Arial" w:cs="Arial" w:eastAsia="Arial" w:hAnsi="Arial"/>
          <w:b w:val="1"/>
          <w:sz w:val="32"/>
          <w:szCs w:val="32"/>
          <w:rtl w:val="0"/>
        </w:rPr>
        <w:t xml:space="preserve">3. Objects of this Act</w:t>
      </w:r>
      <w:r w:rsidDel="00000000" w:rsidR="00000000" w:rsidRPr="00000000">
        <w:rPr>
          <w:rtl w:val="0"/>
        </w:rPr>
      </w:r>
    </w:p>
    <w:p w:rsidR="00000000" w:rsidDel="00000000" w:rsidP="00000000" w:rsidRDefault="00000000" w:rsidRPr="00000000" w14:paraId="00000027">
      <w:pPr>
        <w:numPr>
          <w:ilvl w:val="0"/>
          <w:numId w:val="2"/>
        </w:numPr>
        <w:spacing w:line="276" w:lineRule="auto"/>
        <w:ind w:left="-850.3937007874016" w:right="427.7952755905511"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objects of this act are to</w:t>
      </w:r>
    </w:p>
    <w:p w:rsidR="00000000" w:rsidDel="00000000" w:rsidP="00000000" w:rsidRDefault="00000000" w:rsidRPr="00000000" w14:paraId="00000028">
      <w:pPr>
        <w:numPr>
          <w:ilvl w:val="1"/>
          <w:numId w:val="2"/>
        </w:numPr>
        <w:spacing w:line="276" w:lineRule="auto"/>
        <w:ind w:left="141.7322834645671" w:right="427.7952755905511"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Protect the sanctity of Christmas, the holiday season, and our national public holidays as periods of relaxation and rest.</w:t>
      </w:r>
    </w:p>
    <w:p w:rsidR="00000000" w:rsidDel="00000000" w:rsidP="00000000" w:rsidRDefault="00000000" w:rsidRPr="00000000" w14:paraId="00000029">
      <w:pPr>
        <w:numPr>
          <w:ilvl w:val="1"/>
          <w:numId w:val="2"/>
        </w:numPr>
        <w:spacing w:line="276" w:lineRule="auto"/>
        <w:ind w:left="141.7322834645671" w:right="427.7952755905511"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Ensure that workers who do work on Christmas and other public holidays are always paid the full rate of pay for a public holiday regardless of what state or territory they live in.</w:t>
      </w:r>
      <w:r w:rsidDel="00000000" w:rsidR="00000000" w:rsidRPr="00000000">
        <w:rPr>
          <w:rtl w:val="0"/>
        </w:rPr>
      </w:r>
    </w:p>
    <w:p w:rsidR="00000000" w:rsidDel="00000000" w:rsidP="00000000" w:rsidRDefault="00000000" w:rsidRPr="00000000" w14:paraId="0000002A">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2B">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2C">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2D">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2E">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2F">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30">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31">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32">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33">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34">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35">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36">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37">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38">
      <w:pPr>
        <w:spacing w:line="276" w:lineRule="auto"/>
        <w:ind w:left="-1275.5905511811022" w:right="427.7952755905511" w:hanging="15"/>
        <w:rPr>
          <w:rFonts w:ascii="Arial" w:cs="Arial" w:eastAsia="Arial" w:hAnsi="Arial"/>
          <w:b w:val="1"/>
          <w:sz w:val="40"/>
          <w:szCs w:val="40"/>
        </w:rPr>
      </w:pPr>
      <w:r w:rsidDel="00000000" w:rsidR="00000000" w:rsidRPr="00000000">
        <w:rPr>
          <w:rtl w:val="0"/>
        </w:rPr>
      </w:r>
    </w:p>
    <w:p w:rsidR="00000000" w:rsidDel="00000000" w:rsidP="00000000" w:rsidRDefault="00000000" w:rsidRPr="00000000" w14:paraId="00000039">
      <w:pPr>
        <w:spacing w:line="276" w:lineRule="auto"/>
        <w:ind w:left="-1275.5905511811022" w:right="427.7952755905511" w:hanging="15"/>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PART 2 - APPLICATION</w:t>
      </w:r>
    </w:p>
    <w:p w:rsidR="00000000" w:rsidDel="00000000" w:rsidP="00000000" w:rsidRDefault="00000000" w:rsidRPr="00000000" w14:paraId="0000003A">
      <w:pPr>
        <w:spacing w:line="276" w:lineRule="auto"/>
        <w:ind w:left="-1275.5905511811022" w:right="427.7952755905511" w:hanging="15"/>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B">
      <w:pPr>
        <w:spacing w:line="276" w:lineRule="auto"/>
        <w:ind w:left="-1275.5905511811022" w:right="427.7952755905511" w:hanging="15"/>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Schedule 1 - Amendments of the Fair Work Act 2009</w:t>
      </w:r>
    </w:p>
    <w:p w:rsidR="00000000" w:rsidDel="00000000" w:rsidP="00000000" w:rsidRDefault="00000000" w:rsidRPr="00000000" w14:paraId="0000003C">
      <w:pPr>
        <w:spacing w:line="276" w:lineRule="auto"/>
        <w:ind w:left="-1275.5905511811022" w:right="427.7952755905511" w:hanging="15"/>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D">
      <w:pPr>
        <w:spacing w:line="276" w:lineRule="auto"/>
        <w:ind w:left="-1275.5905511811022" w:right="427.7952755905511" w:hanging="15"/>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1. At the end of Division 10 of Part 2-2</w:t>
      </w:r>
    </w:p>
    <w:p w:rsidR="00000000" w:rsidDel="00000000" w:rsidP="00000000" w:rsidRDefault="00000000" w:rsidRPr="00000000" w14:paraId="0000003E">
      <w:pPr>
        <w:spacing w:line="276" w:lineRule="auto"/>
        <w:ind w:left="-1275.5905511811022" w:right="427.7952755905511" w:hanging="15"/>
        <w:rPr>
          <w:rFonts w:ascii="Arial" w:cs="Arial" w:eastAsia="Arial" w:hAnsi="Arial"/>
          <w:sz w:val="24"/>
          <w:szCs w:val="24"/>
        </w:rPr>
      </w:pPr>
      <w:r w:rsidDel="00000000" w:rsidR="00000000" w:rsidRPr="00000000">
        <w:rPr>
          <w:rFonts w:ascii="Arial" w:cs="Arial" w:eastAsia="Arial" w:hAnsi="Arial"/>
          <w:sz w:val="24"/>
          <w:szCs w:val="24"/>
          <w:rtl w:val="0"/>
        </w:rPr>
        <w:t xml:space="preserve">Add:</w:t>
      </w:r>
    </w:p>
    <w:p w:rsidR="00000000" w:rsidDel="00000000" w:rsidP="00000000" w:rsidRDefault="00000000" w:rsidRPr="00000000" w14:paraId="0000003F">
      <w:pPr>
        <w:spacing w:line="276" w:lineRule="auto"/>
        <w:ind w:left="-1275.5905511811022" w:right="427.7952755905511" w:hanging="15"/>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0">
      <w:pPr>
        <w:spacing w:line="276" w:lineRule="auto"/>
        <w:ind w:left="-1275.5905511811022" w:right="427.7952755905511" w:hanging="15"/>
        <w:rPr>
          <w:rFonts w:ascii="Arial" w:cs="Arial" w:eastAsia="Arial" w:hAnsi="Arial"/>
          <w:b w:val="1"/>
          <w:sz w:val="28"/>
          <w:szCs w:val="28"/>
        </w:rPr>
      </w:pPr>
      <w:bookmarkStart w:colFirst="0" w:colLast="0" w:name="_35nkun2" w:id="0"/>
      <w:bookmarkEnd w:id="0"/>
      <w:r w:rsidDel="00000000" w:rsidR="00000000" w:rsidRPr="00000000">
        <w:rPr>
          <w:rFonts w:ascii="Arial" w:cs="Arial" w:eastAsia="Arial" w:hAnsi="Arial"/>
          <w:b w:val="1"/>
          <w:sz w:val="28"/>
          <w:szCs w:val="28"/>
          <w:rtl w:val="0"/>
        </w:rPr>
        <w:t xml:space="preserve">116A  Application of this Division to Christmas Day and New Year’s Day</w:t>
      </w:r>
    </w:p>
    <w:p w:rsidR="00000000" w:rsidDel="00000000" w:rsidP="00000000" w:rsidRDefault="00000000" w:rsidRPr="00000000" w14:paraId="00000041">
      <w:pPr>
        <w:spacing w:line="276" w:lineRule="auto"/>
        <w:ind w:left="-1275.5905511811022" w:right="427.7952755905511" w:hanging="15"/>
        <w:rPr>
          <w:rFonts w:ascii="Arial" w:cs="Arial" w:eastAsia="Arial" w:hAnsi="Arial"/>
        </w:rPr>
      </w:pPr>
      <w:bookmarkStart w:colFirst="0" w:colLast="0" w:name="_xmv5aut3927h" w:id="1"/>
      <w:bookmarkEnd w:id="1"/>
      <w:r w:rsidDel="00000000" w:rsidR="00000000" w:rsidRPr="00000000">
        <w:rPr>
          <w:rtl w:val="0"/>
        </w:rPr>
      </w:r>
    </w:p>
    <w:p w:rsidR="00000000" w:rsidDel="00000000" w:rsidP="00000000" w:rsidRDefault="00000000" w:rsidRPr="00000000" w14:paraId="00000042">
      <w:pPr>
        <w:numPr>
          <w:ilvl w:val="0"/>
          <w:numId w:val="3"/>
        </w:numPr>
        <w:spacing w:line="276" w:lineRule="auto"/>
        <w:ind w:left="720" w:right="427.7952755905511" w:hanging="360"/>
        <w:rPr>
          <w:rFonts w:ascii="Arial" w:cs="Arial" w:eastAsia="Arial" w:hAnsi="Arial"/>
          <w:sz w:val="24"/>
          <w:szCs w:val="24"/>
        </w:rPr>
      </w:pPr>
      <w:bookmarkStart w:colFirst="0" w:colLast="0" w:name="_dhzq1y8rzxwf" w:id="2"/>
      <w:bookmarkEnd w:id="2"/>
      <w:r w:rsidDel="00000000" w:rsidR="00000000" w:rsidRPr="00000000">
        <w:rPr>
          <w:rFonts w:ascii="Arial" w:cs="Arial" w:eastAsia="Arial" w:hAnsi="Arial"/>
          <w:sz w:val="24"/>
          <w:szCs w:val="24"/>
          <w:rtl w:val="0"/>
        </w:rPr>
        <w:t xml:space="preserve">This Division applies in relation to all public holidays listed in subsection 115(1) as if those days were public holidays, even if another day is substituted for those days as a public holiday, as mentioned in subsection 115(2), (3) and (4).</w:t>
      </w:r>
    </w:p>
    <w:p w:rsidR="00000000" w:rsidDel="00000000" w:rsidP="00000000" w:rsidRDefault="00000000" w:rsidRPr="00000000" w14:paraId="00000043">
      <w:pPr>
        <w:spacing w:line="276" w:lineRule="auto"/>
        <w:ind w:left="-1275.5905511811022" w:right="427.7952755905511" w:hanging="15"/>
        <w:rPr>
          <w:rFonts w:ascii="Arial" w:cs="Arial" w:eastAsia="Arial" w:hAnsi="Arial"/>
        </w:rPr>
      </w:pPr>
      <w:bookmarkStart w:colFirst="0" w:colLast="0" w:name="_1ksv4uv" w:id="3"/>
      <w:bookmarkEnd w:id="3"/>
      <w:r w:rsidDel="00000000" w:rsidR="00000000" w:rsidRPr="00000000">
        <w:rPr>
          <w:rtl w:val="0"/>
        </w:rPr>
      </w:r>
    </w:p>
    <w:p w:rsidR="00000000" w:rsidDel="00000000" w:rsidP="00000000" w:rsidRDefault="00000000" w:rsidRPr="00000000" w14:paraId="00000044">
      <w:pPr>
        <w:spacing w:line="276" w:lineRule="auto"/>
        <w:ind w:left="-1275.5905511811022" w:right="427.7952755905511" w:hanging="15"/>
        <w:rPr>
          <w:rFonts w:ascii="Arial" w:cs="Arial" w:eastAsia="Arial" w:hAnsi="Arial"/>
          <w:b w:val="1"/>
          <w:sz w:val="28"/>
          <w:szCs w:val="28"/>
        </w:rPr>
      </w:pPr>
      <w:bookmarkStart w:colFirst="0" w:colLast="0" w:name="_epz79tpsgpa8" w:id="4"/>
      <w:bookmarkEnd w:id="4"/>
      <w:r w:rsidDel="00000000" w:rsidR="00000000" w:rsidRPr="00000000">
        <w:rPr>
          <w:rFonts w:ascii="Arial" w:cs="Arial" w:eastAsia="Arial" w:hAnsi="Arial"/>
          <w:b w:val="1"/>
          <w:sz w:val="28"/>
          <w:szCs w:val="28"/>
          <w:rtl w:val="0"/>
        </w:rPr>
        <w:t xml:space="preserve">116B  Rates of pay for work on Christmas Day and New Year’s Day</w:t>
      </w:r>
    </w:p>
    <w:p w:rsidR="00000000" w:rsidDel="00000000" w:rsidP="00000000" w:rsidRDefault="00000000" w:rsidRPr="00000000" w14:paraId="00000045">
      <w:pPr>
        <w:tabs>
          <w:tab w:val="right" w:pos="1021"/>
        </w:tabs>
        <w:spacing w:line="276" w:lineRule="auto"/>
        <w:ind w:left="0" w:right="427.7952755905511" w:firstLine="0"/>
        <w:rPr>
          <w:rFonts w:ascii="Arial" w:cs="Arial" w:eastAsia="Arial" w:hAnsi="Arial"/>
        </w:rPr>
      </w:pPr>
      <w:r w:rsidDel="00000000" w:rsidR="00000000" w:rsidRPr="00000000">
        <w:rPr>
          <w:rtl w:val="0"/>
        </w:rPr>
      </w:r>
    </w:p>
    <w:p w:rsidR="00000000" w:rsidDel="00000000" w:rsidP="00000000" w:rsidRDefault="00000000" w:rsidRPr="00000000" w14:paraId="00000046">
      <w:pPr>
        <w:numPr>
          <w:ilvl w:val="0"/>
          <w:numId w:val="1"/>
        </w:numPr>
        <w:tabs>
          <w:tab w:val="right" w:pos="1021"/>
        </w:tabs>
        <w:spacing w:line="276" w:lineRule="auto"/>
        <w:ind w:left="720" w:right="427.795275590551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an employee performs work at his or her employment on a public holiday listed in subsection 115(1), the employer must pay the employee for that work at the employee’s full rate of pay for a public holiday.</w:t>
      </w:r>
    </w:p>
    <w:p w:rsidR="00000000" w:rsidDel="00000000" w:rsidP="00000000" w:rsidRDefault="00000000" w:rsidRPr="00000000" w14:paraId="00000047">
      <w:pPr>
        <w:tabs>
          <w:tab w:val="right" w:pos="1021"/>
        </w:tabs>
        <w:spacing w:line="276" w:lineRule="auto"/>
        <w:ind w:right="427.795275590551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numPr>
          <w:ilvl w:val="0"/>
          <w:numId w:val="1"/>
        </w:numPr>
        <w:tabs>
          <w:tab w:val="right" w:pos="1021"/>
        </w:tabs>
        <w:spacing w:line="276" w:lineRule="auto"/>
        <w:ind w:left="720" w:right="427.7952755905511"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Subsection (1) applies even if another day is substituted for the public holidays listed in subsection 115(1), as mentioned in subsection 115(2), (3) and (4).</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pgMar w:bottom="566.9291338582677" w:top="566.9291338582677" w:left="2409.448818897638" w:right="708.6614173228347"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12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12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120" w:line="240" w:lineRule="auto"/>
      <w:ind w:left="0" w:right="0" w:firstLine="0"/>
      <w:jc w:val="righ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1"/>
      <w:keepLines w:val="1"/>
      <w:widowControl w:val="1"/>
      <w:pBdr>
        <w:top w:space="0" w:sz="0" w:val="nil"/>
        <w:left w:space="0" w:sz="0" w:val="nil"/>
        <w:bottom w:space="0" w:sz="0" w:val="nil"/>
        <w:right w:space="0" w:sz="0" w:val="nil"/>
        <w:between w:space="0" w:sz="0" w:val="nil"/>
      </w:pBdr>
      <w:shd w:fill="auto" w:val="clear"/>
      <w:tabs>
        <w:tab w:val="center" w:pos="4150"/>
        <w:tab w:val="right" w:pos="8307"/>
      </w:tabs>
      <w:spacing w:after="12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