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w:t>
      </w:r>
      <w:r w:rsidDel="00000000" w:rsidR="00000000" w:rsidRPr="00000000">
        <w:rPr>
          <w:sz w:val="28"/>
          <w:szCs w:val="28"/>
          <w:rtl w:val="0"/>
        </w:rPr>
        <w:t xml:space="preserve">9</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Parliament of the</w:t>
      </w:r>
    </w:p>
    <w:p w:rsidR="00000000" w:rsidDel="00000000" w:rsidP="00000000" w:rsidRDefault="00000000" w:rsidRPr="00000000" w14:paraId="00000004">
      <w:pPr>
        <w:rPr>
          <w:sz w:val="28"/>
          <w:szCs w:val="28"/>
        </w:rPr>
      </w:pPr>
      <w:r w:rsidDel="00000000" w:rsidR="00000000" w:rsidRPr="00000000">
        <w:rPr>
          <w:sz w:val="28"/>
          <w:szCs w:val="28"/>
          <w:rtl w:val="0"/>
        </w:rPr>
        <w:t xml:space="preserve">Commonwealth of Australia</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HOUSE OF REPRESENTATIVES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Presented and read a first time</w:t>
      </w:r>
    </w:p>
    <w:p w:rsidR="00000000" w:rsidDel="00000000" w:rsidP="00000000" w:rsidRDefault="00000000" w:rsidRPr="00000000" w14:paraId="0000000C">
      <w:pPr>
        <w:rPr>
          <w:sz w:val="19"/>
          <w:szCs w:val="19"/>
        </w:rPr>
      </w:pPr>
      <w:r w:rsidDel="00000000" w:rsidR="00000000" w:rsidRPr="00000000">
        <w:rPr>
          <w:rtl w:val="0"/>
        </w:rPr>
      </w:r>
    </w:p>
    <w:p w:rsidR="00000000" w:rsidDel="00000000" w:rsidP="00000000" w:rsidRDefault="00000000" w:rsidRPr="00000000" w14:paraId="0000000D">
      <w:pPr>
        <w:rPr>
          <w:sz w:val="19"/>
          <w:szCs w:val="19"/>
        </w:rPr>
      </w:pPr>
      <w:r w:rsidDel="00000000" w:rsidR="00000000" w:rsidRPr="00000000">
        <w:rPr>
          <w:rtl w:val="0"/>
        </w:rPr>
      </w:r>
    </w:p>
    <w:p w:rsidR="00000000" w:rsidDel="00000000" w:rsidP="00000000" w:rsidRDefault="00000000" w:rsidRPr="00000000" w14:paraId="0000000E">
      <w:pPr>
        <w:rPr>
          <w:sz w:val="19"/>
          <w:szCs w:val="19"/>
        </w:rPr>
      </w:pPr>
      <w:r w:rsidDel="00000000" w:rsidR="00000000" w:rsidRPr="00000000">
        <w:rPr>
          <w:rtl w:val="0"/>
        </w:rPr>
      </w:r>
    </w:p>
    <w:p w:rsidR="00000000" w:rsidDel="00000000" w:rsidP="00000000" w:rsidRDefault="00000000" w:rsidRPr="00000000" w14:paraId="0000000F">
      <w:pPr>
        <w:rPr>
          <w:sz w:val="19"/>
          <w:szCs w:val="19"/>
        </w:rPr>
      </w:pPr>
      <w:r w:rsidDel="00000000" w:rsidR="00000000" w:rsidRPr="00000000">
        <w:rPr>
          <w:rtl w:val="0"/>
        </w:rPr>
      </w:r>
    </w:p>
    <w:p w:rsidR="00000000" w:rsidDel="00000000" w:rsidP="00000000" w:rsidRDefault="00000000" w:rsidRPr="00000000" w14:paraId="00000010">
      <w:pPr>
        <w:rPr>
          <w:sz w:val="19"/>
          <w:szCs w:val="19"/>
        </w:rPr>
      </w:pPr>
      <w:r w:rsidDel="00000000" w:rsidR="00000000" w:rsidRPr="00000000">
        <w:rPr>
          <w:rtl w:val="0"/>
        </w:rPr>
      </w:r>
    </w:p>
    <w:p w:rsidR="00000000" w:rsidDel="00000000" w:rsidP="00000000" w:rsidRDefault="00000000" w:rsidRPr="00000000" w14:paraId="00000011">
      <w:pPr>
        <w:rPr>
          <w:sz w:val="19"/>
          <w:szCs w:val="19"/>
        </w:rPr>
      </w:pPr>
      <w:r w:rsidDel="00000000" w:rsidR="00000000" w:rsidRPr="00000000">
        <w:rPr>
          <w:rtl w:val="0"/>
        </w:rPr>
      </w:r>
    </w:p>
    <w:p w:rsidR="00000000" w:rsidDel="00000000" w:rsidP="00000000" w:rsidRDefault="00000000" w:rsidRPr="00000000" w14:paraId="00000012">
      <w:pPr>
        <w:rPr>
          <w:sz w:val="19"/>
          <w:szCs w:val="19"/>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Great Australian Bight Environment Protection Bill 201</w:t>
      </w:r>
      <w:r w:rsidDel="00000000" w:rsidR="00000000" w:rsidRPr="00000000">
        <w:rPr>
          <w:b w:val="1"/>
          <w:sz w:val="40"/>
          <w:szCs w:val="40"/>
          <w:rtl w:val="0"/>
        </w:rPr>
        <w:t xml:space="preserve">9</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No.      , 201</w:t>
      </w:r>
      <w:r w:rsidDel="00000000" w:rsidR="00000000" w:rsidRPr="00000000">
        <w:rPr>
          <w:b w:val="1"/>
          <w:sz w:val="40"/>
          <w:szCs w:val="40"/>
          <w:rtl w:val="0"/>
        </w:rPr>
        <w:t xml:space="preserve">9</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Youmaton MP</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(Written by S</w:t>
      </w:r>
      <w:r w:rsidDel="00000000" w:rsidR="00000000" w:rsidRPr="00000000">
        <w:rPr>
          <w:i w:val="1"/>
          <w:sz w:val="18"/>
          <w:szCs w:val="18"/>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Hanson-Young)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Bill for an Act to protect the Great Australian Bight environment, and for related purposes</w:t>
      </w:r>
    </w:p>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 w:type="default"/>
          <w:headerReference r:id="rId7" w:type="first"/>
          <w:headerReference r:id="rId8" w:type="even"/>
          <w:footerReference r:id="rId9" w:type="default"/>
          <w:footerReference r:id="rId10" w:type="first"/>
          <w:footerReference r:id="rId11" w:type="even"/>
          <w:pgSz w:h="16839" w:w="11907"/>
          <w:pgMar w:bottom="4252" w:top="1418" w:left="2409" w:right="2409" w:header="720" w:footer="3402"/>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2">
      <w:pPr>
        <w:rPr>
          <w:sz w:val="36"/>
          <w:szCs w:val="36"/>
        </w:rPr>
      </w:pPr>
      <w:r w:rsidDel="00000000" w:rsidR="00000000" w:rsidRPr="00000000">
        <w:rPr>
          <w:sz w:val="36"/>
          <w:szCs w:val="36"/>
          <w:rtl w:val="0"/>
        </w:rPr>
        <w:t xml:space="preserve">Contents</w:t>
      </w:r>
    </w:p>
    <w:bookmarkStart w:colFirst="0" w:colLast="0" w:name="30j0zll" w:id="0"/>
    <w:bookmarkEnd w:id="0"/>
    <w:sdt>
      <w:sdtPr>
        <w:docPartObj>
          <w:docPartGallery w:val="Table of Contents"/>
          <w:docPartUnique w:val="1"/>
        </w:docPartObj>
      </w:sdtPr>
      <w:sdtContent>
        <w:p w:rsidR="00000000" w:rsidDel="00000000" w:rsidP="00000000" w:rsidRDefault="00000000" w:rsidRPr="00000000" w14:paraId="00000023">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tab/>
            <w:t xml:space="preserve">Short title</w:t>
            <w:tab/>
          </w:r>
          <w:r w:rsidDel="00000000" w:rsidR="00000000" w:rsidRPr="00000000">
            <w:fldChar w:fldCharType="begin"/>
            <w:instrText xml:space="preserve"> PAGEREF _1fob9te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r w:rsidDel="00000000" w:rsidR="00000000" w:rsidRPr="00000000">
            <w:fldChar w:fldCharType="begin"/>
            <w:instrText xml:space="preserve"> HYPERLINK \l "_1fob9te"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tab/>
            <w:t xml:space="preserve">Commencement</w:t>
            <w:tab/>
          </w:r>
          <w:r w:rsidDel="00000000" w:rsidR="00000000" w:rsidRPr="00000000">
            <w:fldChar w:fldCharType="begin"/>
            <w:instrText xml:space="preserve"> PAGEREF _3znysh7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r w:rsidDel="00000000" w:rsidR="00000000" w:rsidRPr="00000000">
            <w:fldChar w:fldCharType="begin"/>
            <w:instrText xml:space="preserve"> HYPERLINK \l "_3znysh7"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tab/>
            <w:t xml:space="preserve">Object</w:t>
            <w:tab/>
          </w:r>
          <w:r w:rsidDel="00000000" w:rsidR="00000000" w:rsidRPr="00000000">
            <w:fldChar w:fldCharType="begin"/>
            <w:instrText xml:space="preserve"> PAGEREF _2et92p0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r w:rsidDel="00000000" w:rsidR="00000000" w:rsidRPr="00000000">
            <w:fldChar w:fldCharType="begin"/>
            <w:instrText xml:space="preserve"> HYPERLINK \l "_2et92p0"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tab/>
            <w:t xml:space="preserve">Application of this Act</w:t>
            <w:tab/>
          </w:r>
          <w:r w:rsidDel="00000000" w:rsidR="00000000" w:rsidRPr="00000000">
            <w:fldChar w:fldCharType="begin"/>
            <w:instrText xml:space="preserve"> PAGEREF _tyjcwt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r w:rsidDel="00000000" w:rsidR="00000000" w:rsidRPr="00000000">
            <w:fldChar w:fldCharType="begin"/>
            <w:instrText xml:space="preserve"> HYPERLINK \l "_tyjcwt"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tab/>
            <w:t xml:space="preserve">Definitions</w:t>
            <w:tab/>
          </w:r>
          <w:r w:rsidDel="00000000" w:rsidR="00000000" w:rsidRPr="00000000">
            <w:fldChar w:fldCharType="begin"/>
            <w:instrText xml:space="preserve"> PAGEREF _3dy6vkm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r w:rsidDel="00000000" w:rsidR="00000000" w:rsidRPr="00000000">
            <w:fldChar w:fldCharType="begin"/>
            <w:instrText xml:space="preserve"> HYPERLINK \l "_3dy6vkm"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tab/>
            <w:t xml:space="preserve">Ban on mining activities in the Great Australian Bight marine area</w:t>
            <w:tab/>
          </w:r>
          <w:r w:rsidDel="00000000" w:rsidR="00000000" w:rsidRPr="00000000">
            <w:fldChar w:fldCharType="begin"/>
            <w:instrText xml:space="preserve"> PAGEREF _1t3h5sf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r w:rsidDel="00000000" w:rsidR="00000000" w:rsidRPr="00000000">
            <w:fldChar w:fldCharType="begin"/>
            <w:instrText xml:space="preserve"> HYPERLINK \l "_1t3h5sf"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1"/>
            <w:widowControl w:val="1"/>
            <w:pBdr>
              <w:top w:space="0" w:sz="0" w:val="nil"/>
              <w:left w:space="0" w:sz="0" w:val="nil"/>
              <w:bottom w:space="0" w:sz="0" w:val="nil"/>
              <w:right w:space="0" w:sz="0" w:val="nil"/>
              <w:between w:space="0" w:sz="0" w:val="nil"/>
            </w:pBdr>
            <w:shd w:fill="auto" w:val="clear"/>
            <w:tabs>
              <w:tab w:val="right" w:pos="7088"/>
            </w:tabs>
            <w:spacing w:after="0" w:before="40" w:line="240" w:lineRule="auto"/>
            <w:ind w:left="2098" w:right="567" w:hanging="6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w:t>
            <w:tab/>
            <w:t xml:space="preserve">Compensation for acquisition of property</w:t>
            <w:tab/>
          </w:r>
          <w:r w:rsidDel="00000000" w:rsidR="00000000" w:rsidRPr="00000000">
            <w:fldChar w:fldCharType="begin"/>
            <w:instrText xml:space="preserve"> PAGEREF _4d34og8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r w:rsidDel="00000000" w:rsidR="00000000" w:rsidRPr="00000000">
            <w:fldChar w:fldCharType="begin"/>
            <w:instrText xml:space="preserve"> HYPERLINK \l "_4d34og8"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9" w:w="11907"/>
          <w:pgMar w:bottom="4252" w:top="1418" w:left="2409" w:right="2409" w:header="720" w:footer="3402"/>
        </w:sect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560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Bill for an Act to protect the Great Australian Bight environment, and for related purposes</w:t>
      </w:r>
    </w:p>
    <w:p w:rsidR="00000000" w:rsidDel="00000000" w:rsidP="00000000" w:rsidRDefault="00000000" w:rsidRPr="00000000" w14:paraId="0000002F">
      <w:pPr>
        <w:spacing w:before="240" w:line="240" w:lineRule="auto"/>
        <w:rPr>
          <w:sz w:val="32"/>
          <w:szCs w:val="32"/>
        </w:rPr>
      </w:pPr>
      <w:r w:rsidDel="00000000" w:rsidR="00000000" w:rsidRPr="00000000">
        <w:rPr>
          <w:sz w:val="32"/>
          <w:szCs w:val="32"/>
          <w:rtl w:val="0"/>
        </w:rPr>
        <w:t xml:space="preserve">The Parliament of Australia enacts:</w:t>
      </w:r>
    </w:p>
    <w:p w:rsidR="00000000" w:rsidDel="00000000" w:rsidP="00000000" w:rsidRDefault="00000000" w:rsidRPr="00000000" w14:paraId="00000030">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1">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fob9te"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Short title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This Act is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Great Australian Bight Environment Protection Act 201</w:t>
      </w:r>
      <w:r w:rsidDel="00000000" w:rsidR="00000000" w:rsidRPr="00000000">
        <w:rPr>
          <w:i w:val="1"/>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znysh7"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Commencement</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7110.999999999999" w:type="dxa"/>
        <w:jc w:val="left"/>
        <w:tblInd w:w="107.0" w:type="pct"/>
        <w:tblBorders>
          <w:top w:color="000000" w:space="0" w:sz="4" w:val="single"/>
          <w:bottom w:color="000000" w:space="0" w:sz="4" w:val="single"/>
          <w:insideH w:color="000000" w:space="0" w:sz="4" w:val="single"/>
        </w:tblBorders>
        <w:tblLayout w:type="fixed"/>
        <w:tblLook w:val="0000"/>
      </w:tblPr>
      <w:tblGrid>
        <w:gridCol w:w="1701"/>
        <w:gridCol w:w="3828"/>
        <w:gridCol w:w="1582"/>
        <w:tblGridChange w:id="0">
          <w:tblGrid>
            <w:gridCol w:w="1701"/>
            <w:gridCol w:w="3828"/>
            <w:gridCol w:w="1582"/>
          </w:tblGrid>
        </w:tblGridChange>
      </w:tblGrid>
      <w:tr>
        <w:tc>
          <w:tcPr>
            <w:gridSpan w:val="3"/>
            <w:tcBorders>
              <w:top w:color="000000" w:space="0" w:sz="12" w:val="single"/>
              <w:bottom w:color="000000" w:space="0" w:sz="6" w:val="single"/>
            </w:tcBorders>
            <w:shd w:fill="auto" w:val="clear"/>
          </w:tcPr>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 information</w:t>
            </w:r>
          </w:p>
        </w:tc>
      </w:tr>
      <w:tr>
        <w:tc>
          <w:tcPr>
            <w:tcBorders>
              <w:top w:color="000000" w:space="0" w:sz="6" w:val="single"/>
              <w:bottom w:color="000000" w:space="0" w:sz="6" w:val="single"/>
            </w:tcBorders>
            <w:shd w:fill="auto" w:val="clear"/>
          </w:tcPr>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1</w:t>
            </w:r>
          </w:p>
        </w:tc>
        <w:tc>
          <w:tcPr>
            <w:tcBorders>
              <w:top w:color="000000" w:space="0" w:sz="6" w:val="single"/>
              <w:bottom w:color="000000" w:space="0" w:sz="6" w:val="single"/>
            </w:tcBorders>
            <w:shd w:fill="auto" w:val="clear"/>
          </w:tcPr>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2</w:t>
            </w:r>
          </w:p>
        </w:tc>
        <w:tc>
          <w:tcPr>
            <w:tcBorders>
              <w:top w:color="000000" w:space="0" w:sz="6" w:val="single"/>
              <w:bottom w:color="000000" w:space="0" w:sz="6" w:val="single"/>
            </w:tcBorders>
            <w:shd w:fill="auto" w:val="clear"/>
          </w:tcPr>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Column 3</w:t>
            </w:r>
          </w:p>
        </w:tc>
      </w:tr>
      <w:tr>
        <w:tc>
          <w:tcPr>
            <w:tcBorders>
              <w:top w:color="000000" w:space="0" w:sz="6" w:val="single"/>
              <w:bottom w:color="000000" w:space="0" w:sz="12" w:val="single"/>
            </w:tcBorders>
            <w:shd w:fill="auto" w:val="clear"/>
          </w:tcPr>
          <w:p w:rsidR="00000000" w:rsidDel="00000000" w:rsidP="00000000" w:rsidRDefault="00000000" w:rsidRPr="00000000" w14:paraId="0000003C">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Provisions</w:t>
            </w:r>
          </w:p>
        </w:tc>
        <w:tc>
          <w:tcPr>
            <w:tcBorders>
              <w:top w:color="000000" w:space="0" w:sz="6" w:val="single"/>
              <w:bottom w:color="000000" w:space="0" w:sz="12" w:val="single"/>
            </w:tcBorders>
            <w:shd w:fill="auto" w:val="clear"/>
          </w:tcPr>
          <w:p w:rsidR="00000000" w:rsidDel="00000000" w:rsidP="00000000" w:rsidRDefault="00000000" w:rsidRPr="00000000" w14:paraId="0000003D">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Commencement</w:t>
            </w:r>
          </w:p>
        </w:tc>
        <w:tc>
          <w:tcPr>
            <w:tcBorders>
              <w:top w:color="000000" w:space="0" w:sz="6" w:val="single"/>
              <w:bottom w:color="000000" w:space="0" w:sz="12" w:val="single"/>
            </w:tcBorders>
            <w:shd w:fill="auto" w:val="clear"/>
          </w:tcPr>
          <w:p w:rsidR="00000000" w:rsidDel="00000000" w:rsidP="00000000" w:rsidRDefault="00000000" w:rsidRPr="00000000" w14:paraId="0000003E">
            <w:pPr>
              <w:keepNext w:val="1"/>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Date/Details</w:t>
            </w:r>
          </w:p>
        </w:tc>
      </w:tr>
      <w:tr>
        <w:tc>
          <w:tcPr>
            <w:tcBorders>
              <w:top w:color="000000" w:space="0" w:sz="12" w:val="single"/>
            </w:tcBorders>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 whole of this Act</w:t>
            </w:r>
          </w:p>
        </w:tc>
        <w:tc>
          <w:tcPr>
            <w:tcBorders>
              <w:top w:color="000000" w:space="0" w:sz="12" w:val="single"/>
            </w:tcBorders>
            <w:shd w:fill="auto"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day after this Act receives the Royal Assent.</w:t>
            </w:r>
          </w:p>
        </w:tc>
        <w:tc>
          <w:tcPr>
            <w:tcBorders>
              <w:top w:color="000000" w:space="0" w:sz="12" w:val="single"/>
            </w:tcBorders>
            <w:shd w:fill="auto"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122" w:line="240" w:lineRule="auto"/>
        <w:ind w:left="1985" w:right="0" w:hanging="85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Note:</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44">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et92p0"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Object</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The object of this Act is to protect the following from damage resulting from mining activities: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tab/>
        <w:t xml:space="preserve">the Great Australian Bight environment (in particular marine life);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 xml:space="preserve">industries in the Great Australian Bight region (in particular the fishing industry).</w:t>
      </w:r>
    </w:p>
    <w:p w:rsidR="00000000" w:rsidDel="00000000" w:rsidP="00000000" w:rsidRDefault="00000000" w:rsidRPr="00000000" w14:paraId="00000048">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tyjcwt"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Application of this Act</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This Act applies in relation to the Great Australian Bight marine area and has effect despite any other Commonwealth law including any of the following Acts: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tab/>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Environment Protection and Biodiversity Conservation Act 1999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Offshore Petroleum and Greenhouse Gas Storage Act 2006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To avoid doubt, an authorisation, permit, title or other instrument that permits conduct that is inconsistent with the operation of this Act is taken to have no effect to the extent of the inconsistency.</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tab/>
        <w:t xml:space="preserve">A provision of this Act that has effect in relation to a place that is within the outer limits of the exclusive economic zone of Australia (whether the place is in the zone or in Australia), or that is on or in the continental shelf of Australia, applies in relation to all persons (including persons who are not Australian citizens).</w:t>
      </w:r>
    </w:p>
    <w:p w:rsidR="00000000" w:rsidDel="00000000" w:rsidP="00000000" w:rsidRDefault="00000000" w:rsidRPr="00000000" w14:paraId="0000004E">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dy6vkm"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Definitions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In this Act:</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ab/>
        <w:tab/>
        <w:t xml:space="preserve">Great Australian Bight marine area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consists of the waters of the sea known as the Great Australian Bight in the Southern Ocean that are: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tab/>
        <w:t xml:space="preserve">beyond the outer limits of the coastal waters of South Australia and Western Australia; and</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 xml:space="preserve">within the outer limits of the continental shelf; and</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w:t>
        <w:tab/>
        <w:t xml:space="preserve">between Cape Pasley, Western Australia and Cape Carnot, South Australia.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mining operation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tab/>
        <w:t xml:space="preserve">means an operation or activity connected with, or incidental to, the mining or recovery of minerals or other geological material (including naturally occurring hydrocarbons) in any form, whether solid, liquid or gaseous and whether organic or inorganic; and</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 xml:space="preserve">includes prospecting for or exploring for minerals or other geological material.</w:t>
      </w:r>
    </w:p>
    <w:p w:rsidR="00000000" w:rsidDel="00000000" w:rsidP="00000000" w:rsidRDefault="00000000" w:rsidRPr="00000000" w14:paraId="00000057">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t3h5sf"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Ban on mining activities in the Great Australian Bight marine area</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A person commits an offence if:</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tab/>
        <w:t xml:space="preserve">the person engages in conduct; and</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 xml:space="preserve">the conduct is a mining operation; and</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w:t>
        <w:tab/>
        <w:t xml:space="preserve">the conduct is engaged in the Great Australian Bight marine area; and</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1531"/>
        </w:tabs>
        <w:spacing w:after="0" w:before="40" w:line="240" w:lineRule="auto"/>
        <w:ind w:left="1644" w:right="0" w:hanging="16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(d)</w:t>
        <w:tab/>
        <w:t xml:space="preserve">the conduct is not for the purpose of research or investigations relevant to the conservation or protection of the Great Australian Bight marine area.</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2977"/>
        </w:tabs>
        <w:spacing w:after="0" w:before="180" w:line="240" w:lineRule="auto"/>
        <w:ind w:left="1985" w:right="0" w:hanging="85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Penalty:</w:t>
        <w:tab/>
        <w:t xml:space="preserve">Imprisonment for 2 years or 1,000 penalty units, or both.</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This section applies despite any other law of the Commonwealth, a State or a Territory.</w:t>
      </w:r>
    </w:p>
    <w:p w:rsidR="00000000" w:rsidDel="00000000" w:rsidP="00000000" w:rsidRDefault="00000000" w:rsidRPr="00000000" w14:paraId="0000005F">
      <w:pPr>
        <w:keepNext w:val="1"/>
        <w:keepLines w:val="1"/>
        <w:widowControl w:val="1"/>
        <w:pBdr>
          <w:top w:space="0" w:sz="0" w:val="nil"/>
          <w:left w:space="0" w:sz="0" w:val="nil"/>
          <w:bottom w:space="0" w:sz="0" w:val="nil"/>
          <w:right w:space="0" w:sz="0" w:val="nil"/>
          <w:between w:space="0" w:sz="0" w:val="nil"/>
        </w:pBdr>
        <w:shd w:fill="auto" w:val="clear"/>
        <w:spacing w:after="0" w:before="280" w:line="240" w:lineRule="auto"/>
        <w:ind w:left="1134" w:right="0" w:hanging="1134"/>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d34og8"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Compensation for acquisition of property</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tab/>
        <w:t xml:space="preserve">If the operation of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1021"/>
        </w:tabs>
        <w:spacing w:after="0" w:before="180" w:line="240" w:lineRule="auto"/>
        <w:ind w:left="1134" w:right="0" w:hanging="11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s8eyo1" w:id="8"/>
      <w:bookmarkEnd w:id="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w:t>
        <w:tab/>
        <w:t xml:space="preserve">If the Commonwealth and the person do not agree on the amount of the compensation, the person may institute proceedings in the Federal Court of Australia for the recovery from the Commonwealth of such reasonable amount of compensation as the court determines.</w:t>
      </w:r>
    </w:p>
    <w:sectPr>
      <w:type w:val="continuous"/>
      <w:pgSz w:h="16839" w:w="11907"/>
      <w:pgMar w:bottom="4252" w:top="1418" w:left="2409" w:right="2409" w:header="720" w:footer="34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80" w:line="240" w:lineRule="auto"/>
      <w:ind w:left="1134" w:hanging="1134"/>
    </w:pPr>
    <w:rPr>
      <w:b w:val="1"/>
      <w:sz w:val="24"/>
      <w:szCs w:val="24"/>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