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2019</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Parliament of the</w:t>
      </w:r>
    </w:p>
    <w:p w:rsidR="00000000" w:rsidDel="00000000" w:rsidP="00000000" w:rsidRDefault="00000000" w:rsidRPr="00000000" w14:paraId="00000004">
      <w:pPr>
        <w:rPr>
          <w:sz w:val="28"/>
          <w:szCs w:val="28"/>
        </w:rPr>
      </w:pPr>
      <w:r w:rsidDel="00000000" w:rsidR="00000000" w:rsidRPr="00000000">
        <w:rPr>
          <w:sz w:val="28"/>
          <w:szCs w:val="28"/>
          <w:rtl w:val="0"/>
        </w:rPr>
        <w:t xml:space="preserve">Commonwealth of Australia</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HOUSE OF REPRESENTATIVES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Presented and read a first time</w:t>
      </w:r>
    </w:p>
    <w:p w:rsidR="00000000" w:rsidDel="00000000" w:rsidP="00000000" w:rsidRDefault="00000000" w:rsidRPr="00000000" w14:paraId="0000000C">
      <w:pPr>
        <w:rPr>
          <w:sz w:val="19"/>
          <w:szCs w:val="19"/>
        </w:rPr>
      </w:pPr>
      <w:r w:rsidDel="00000000" w:rsidR="00000000" w:rsidRPr="00000000">
        <w:rPr>
          <w:rtl w:val="0"/>
        </w:rPr>
      </w:r>
    </w:p>
    <w:p w:rsidR="00000000" w:rsidDel="00000000" w:rsidP="00000000" w:rsidRDefault="00000000" w:rsidRPr="00000000" w14:paraId="0000000D">
      <w:pPr>
        <w:rPr>
          <w:sz w:val="19"/>
          <w:szCs w:val="19"/>
        </w:rPr>
      </w:pPr>
      <w:r w:rsidDel="00000000" w:rsidR="00000000" w:rsidRPr="00000000">
        <w:rPr>
          <w:rtl w:val="0"/>
        </w:rPr>
      </w:r>
    </w:p>
    <w:p w:rsidR="00000000" w:rsidDel="00000000" w:rsidP="00000000" w:rsidRDefault="00000000" w:rsidRPr="00000000" w14:paraId="0000000E">
      <w:pPr>
        <w:rPr>
          <w:sz w:val="19"/>
          <w:szCs w:val="19"/>
        </w:rPr>
      </w:pPr>
      <w:r w:rsidDel="00000000" w:rsidR="00000000" w:rsidRPr="00000000">
        <w:rPr>
          <w:rtl w:val="0"/>
        </w:rPr>
      </w:r>
    </w:p>
    <w:p w:rsidR="00000000" w:rsidDel="00000000" w:rsidP="00000000" w:rsidRDefault="00000000" w:rsidRPr="00000000" w14:paraId="0000000F">
      <w:pPr>
        <w:rPr>
          <w:sz w:val="19"/>
          <w:szCs w:val="19"/>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40"/>
          <w:szCs w:val="40"/>
        </w:rPr>
      </w:pPr>
      <w:r w:rsidDel="00000000" w:rsidR="00000000" w:rsidRPr="00000000">
        <w:rPr>
          <w:b w:val="1"/>
          <w:sz w:val="40"/>
          <w:szCs w:val="40"/>
          <w:rtl w:val="0"/>
        </w:rPr>
        <w:t xml:space="preserve">Appropriation Bill (No. 2) 2019‐2020</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No.      , 2019</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(DirtySaiyan MP)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b w:val="1"/>
          <w:sz w:val="32"/>
          <w:szCs w:val="32"/>
          <w:rtl w:val="0"/>
        </w:rPr>
        <w:t xml:space="preserve">A Bill for an Act to appropriate money out of the Consolidated Revenue Fund for expenditure in relation to the Parliamentary Departments, and for related purposes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F">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0">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sectPr>
          <w:headerReference r:id="rId6" w:type="default"/>
          <w:headerReference r:id="rId7" w:type="first"/>
          <w:headerReference r:id="rId8" w:type="even"/>
          <w:footerReference r:id="rId9" w:type="default"/>
          <w:footerReference r:id="rId10" w:type="first"/>
          <w:footerReference r:id="rId11" w:type="even"/>
          <w:pgSz w:h="16839" w:w="11907"/>
          <w:pgMar w:bottom="4252" w:top="1418" w:left="2409" w:right="2409" w:header="720" w:footer="3402"/>
          <w:pgNumType w:start="1"/>
          <w:titlePg w:val="1"/>
        </w:sect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1">
      <w:pPr>
        <w:rPr>
          <w:sz w:val="36"/>
          <w:szCs w:val="36"/>
        </w:rPr>
      </w:pPr>
      <w:r w:rsidDel="00000000" w:rsidR="00000000" w:rsidRPr="00000000">
        <w:rPr>
          <w:sz w:val="36"/>
          <w:szCs w:val="36"/>
          <w:rtl w:val="0"/>
        </w:rPr>
        <w:t xml:space="preserve">Contents</w:t>
      </w:r>
    </w:p>
    <w:sdt>
      <w:sdtPr>
        <w:docPartObj>
          <w:docPartGallery w:val="Table of Contents"/>
          <w:docPartUnique w:val="1"/>
        </w:docPartObj>
      </w:sdtPr>
      <w:sdtContent>
        <w:p w:rsidR="00000000" w:rsidDel="00000000" w:rsidP="00000000" w:rsidRDefault="00000000" w:rsidRPr="00000000" w14:paraId="00000022">
          <w:pPr>
            <w:tabs>
              <w:tab w:val="right" w:pos="7091.999999999999"/>
            </w:tabs>
            <w:spacing w:before="8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 1—Preliminary</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_gjdgxs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7091.999999999999"/>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Division 1—Preliminary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Short title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Commencement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Definitions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Portfolio statements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_1t3h5sf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wrue8p9cwm3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Notional transactions between entities that are part of the Commonwealth</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_wrue8p9cwm36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7091.999999999999"/>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ycml3wmhr13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 2—Appropriation items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_ycml3wmhr13w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Summary of appropriations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Summary of services for which money is expected to be received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7091.999999999999"/>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gwxodu7z0zy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 3—Advance to the responsible Presiding Officer</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_gwxodu7z0zyx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Advance to the responsible Presiding Officer</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7091.999999999999"/>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 4—Miscellaneous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pluirnl02p6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Crediting amounts to special accounts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_pluirnl02p63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Appropriation of the Consolidated Revenue Fund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7091.999999999999"/>
            </w:tabs>
            <w:spacing w:before="60" w:line="240" w:lineRule="auto"/>
            <w:ind w:left="72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jxsxq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Repeal of this Act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7091.999999999999"/>
            </w:tabs>
            <w:spacing w:before="200" w:line="240" w:lineRule="auto"/>
            <w:ind w:left="0" w:firstLine="0"/>
            <w:rPr/>
          </w:pPr>
          <w:hyperlink w:anchor="_pxyjep1apsvl">
            <w:r w:rsidDel="00000000" w:rsidR="00000000" w:rsidRPr="00000000">
              <w:rPr>
                <w:b w:val="1"/>
                <w:rtl w:val="0"/>
              </w:rPr>
              <w:t xml:space="preserve">Schedule 1—Services for which money is appropriated</w:t>
            </w:r>
          </w:hyperlink>
          <w:r w:rsidDel="00000000" w:rsidR="00000000" w:rsidRPr="00000000">
            <w:rPr>
              <w:b w:val="1"/>
              <w:rtl w:val="0"/>
            </w:rPr>
            <w:tab/>
          </w:r>
          <w:r w:rsidDel="00000000" w:rsidR="00000000" w:rsidRPr="00000000">
            <w:fldChar w:fldCharType="begin"/>
            <w:instrText xml:space="preserve"> PAGEREF _pxyjep1apsvl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7091.999999999999"/>
            </w:tabs>
            <w:spacing w:before="200" w:line="240" w:lineRule="auto"/>
            <w:ind w:left="0" w:firstLine="0"/>
            <w:rPr/>
          </w:pPr>
          <w:hyperlink w:anchor="_otbbsvvl2lfu">
            <w:r w:rsidDel="00000000" w:rsidR="00000000" w:rsidRPr="00000000">
              <w:rPr>
                <w:b w:val="1"/>
                <w:rtl w:val="0"/>
              </w:rPr>
              <w:t xml:space="preserve">Schedule 2—Services for which money is expected to be received</w:t>
            </w:r>
          </w:hyperlink>
          <w:r w:rsidDel="00000000" w:rsidR="00000000" w:rsidRPr="00000000">
            <w:rPr>
              <w:b w:val="1"/>
              <w:rtl w:val="0"/>
            </w:rPr>
            <w:tab/>
          </w:r>
          <w:r w:rsidDel="00000000" w:rsidR="00000000" w:rsidRPr="00000000">
            <w:fldChar w:fldCharType="begin"/>
            <w:instrText xml:space="preserve"> PAGEREF _otbbsvvl2lfu \h </w:instrText>
            <w:fldChar w:fldCharType="separate"/>
          </w:r>
          <w:r w:rsidDel="00000000" w:rsidR="00000000" w:rsidRPr="00000000">
            <w:rPr>
              <w:b w:val="1"/>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7091.999999999999"/>
            </w:tabs>
            <w:spacing w:after="80" w:before="200" w:line="240" w:lineRule="auto"/>
            <w:ind w:left="0" w:firstLine="0"/>
            <w:rPr/>
          </w:pPr>
          <w:hyperlink w:anchor="_a8ykq6x1z2h5">
            <w:r w:rsidDel="00000000" w:rsidR="00000000" w:rsidRPr="00000000">
              <w:rPr>
                <w:b w:val="1"/>
                <w:rtl w:val="0"/>
              </w:rPr>
              <w:t xml:space="preserve">Schedule 3 - Summary of updated areas of expenditure</w:t>
            </w:r>
          </w:hyperlink>
          <w:r w:rsidDel="00000000" w:rsidR="00000000" w:rsidRPr="00000000">
            <w:rPr>
              <w:b w:val="1"/>
              <w:rtl w:val="0"/>
            </w:rPr>
            <w:tab/>
          </w:r>
          <w:r w:rsidDel="00000000" w:rsidR="00000000" w:rsidRPr="00000000">
            <w:fldChar w:fldCharType="begin"/>
            <w:instrText xml:space="preserve"> PAGEREF _a8ykq6x1z2h5 \h </w:instrText>
            <w:fldChar w:fldCharType="separate"/>
          </w:r>
          <w:r w:rsidDel="00000000" w:rsidR="00000000" w:rsidRPr="00000000">
            <w:rPr>
              <w:b w:val="1"/>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9" w:w="11907"/>
          <w:pgMar w:bottom="4252" w:top="1418" w:left="2409" w:right="2409" w:header="720" w:footer="3402"/>
        </w:sect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5600" w:line="240" w:lineRule="auto"/>
        <w:ind w:left="0" w:right="0" w:firstLine="0"/>
        <w:jc w:val="left"/>
        <w:rPr>
          <w:b w:val="1"/>
          <w:sz w:val="32"/>
          <w:szCs w:val="32"/>
        </w:rPr>
      </w:pPr>
      <w:r w:rsidDel="00000000" w:rsidR="00000000" w:rsidRPr="00000000">
        <w:rPr>
          <w:b w:val="1"/>
          <w:sz w:val="32"/>
          <w:szCs w:val="32"/>
          <w:rtl w:val="0"/>
        </w:rPr>
        <w:t xml:space="preserve">A Bill for an Act to appropriate money out of the Consolidated Revenue Fund for expenditure in relation to the Parliamentary Departments, and for related purposes</w:t>
      </w:r>
      <w:r w:rsidDel="00000000" w:rsidR="00000000" w:rsidRPr="00000000">
        <w:rPr>
          <w:rtl w:val="0"/>
        </w:rPr>
      </w:r>
    </w:p>
    <w:p w:rsidR="00000000" w:rsidDel="00000000" w:rsidP="00000000" w:rsidRDefault="00000000" w:rsidRPr="00000000" w14:paraId="00000037">
      <w:pPr>
        <w:spacing w:before="240" w:line="240" w:lineRule="auto"/>
        <w:rPr>
          <w:sz w:val="32"/>
          <w:szCs w:val="32"/>
        </w:rPr>
      </w:pPr>
      <w:r w:rsidDel="00000000" w:rsidR="00000000" w:rsidRPr="00000000">
        <w:rPr>
          <w:sz w:val="32"/>
          <w:szCs w:val="32"/>
          <w:rtl w:val="0"/>
        </w:rPr>
        <w:t xml:space="preserve">The Parliament of Australia enacts:</w:t>
      </w:r>
    </w:p>
    <w:p w:rsidR="00000000" w:rsidDel="00000000" w:rsidP="00000000" w:rsidRDefault="00000000" w:rsidRPr="00000000" w14:paraId="00000038">
      <w:pPr>
        <w:pStyle w:val="Heading1"/>
        <w:keepNext w:val="1"/>
        <w:keepLines w:val="1"/>
        <w:spacing w:before="280" w:lineRule="auto"/>
        <w:ind w:left="1134"/>
        <w:rPr>
          <w:vertAlign w:val="baseline"/>
        </w:rPr>
      </w:pPr>
      <w:bookmarkStart w:colFirst="0" w:colLast="0" w:name="_gjdgxs" w:id="0"/>
      <w:bookmarkEnd w:id="0"/>
      <w:r w:rsidDel="00000000" w:rsidR="00000000" w:rsidRPr="00000000">
        <w:rPr>
          <w:vertAlign w:val="baseline"/>
          <w:rtl w:val="0"/>
        </w:rPr>
        <w:t xml:space="preserve">Part 1—Preliminary</w:t>
      </w:r>
    </w:p>
    <w:p w:rsidR="00000000" w:rsidDel="00000000" w:rsidP="00000000" w:rsidRDefault="00000000" w:rsidRPr="00000000" w14:paraId="00000039">
      <w:pPr>
        <w:pStyle w:val="Heading2"/>
        <w:keepNext w:val="1"/>
        <w:keepLines w:val="1"/>
        <w:spacing w:before="240" w:lineRule="auto"/>
        <w:ind w:left="1134"/>
        <w:rPr>
          <w:vertAlign w:val="baseline"/>
        </w:rPr>
      </w:pPr>
      <w:bookmarkStart w:colFirst="0" w:colLast="0" w:name="_30j0zll" w:id="1"/>
      <w:bookmarkEnd w:id="1"/>
      <w:r w:rsidDel="00000000" w:rsidR="00000000" w:rsidRPr="00000000">
        <w:rPr>
          <w:vertAlign w:val="baseline"/>
          <w:rtl w:val="0"/>
        </w:rPr>
        <w:t xml:space="preserve">Division 1—Preliminary</w:t>
      </w:r>
    </w:p>
    <w:p w:rsidR="00000000" w:rsidDel="00000000" w:rsidP="00000000" w:rsidRDefault="00000000" w:rsidRPr="00000000" w14:paraId="0000003A">
      <w:pPr>
        <w:pStyle w:val="Heading3"/>
        <w:keepNext w:val="1"/>
        <w:keepLines w:val="1"/>
        <w:spacing w:before="280" w:lineRule="auto"/>
        <w:ind w:left="1134"/>
        <w:rPr>
          <w:vertAlign w:val="baseline"/>
        </w:rPr>
      </w:pPr>
      <w:bookmarkStart w:colFirst="0" w:colLast="0" w:name="_1fob9te" w:id="2"/>
      <w:bookmarkEnd w:id="2"/>
      <w:r w:rsidDel="00000000" w:rsidR="00000000" w:rsidRPr="00000000">
        <w:rPr>
          <w:vertAlign w:val="baseline"/>
          <w:rtl w:val="0"/>
        </w:rPr>
        <w:t xml:space="preserve">1  Short title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i w:val="1"/>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This Act is the </w:t>
      </w:r>
      <w:r w:rsidDel="00000000" w:rsidR="00000000" w:rsidRPr="00000000">
        <w:rPr>
          <w:i w:val="1"/>
          <w:rtl w:val="0"/>
        </w:rPr>
        <w:t xml:space="preserve">is the Appropriation (Parliamentary Departments) Act (No. 2) 2019‐2019.</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i w:val="1"/>
        </w:rPr>
      </w:pPr>
      <w:r w:rsidDel="00000000" w:rsidR="00000000" w:rsidRPr="00000000">
        <w:rPr>
          <w:rtl w:val="0"/>
        </w:rPr>
      </w:r>
    </w:p>
    <w:p w:rsidR="00000000" w:rsidDel="00000000" w:rsidP="00000000" w:rsidRDefault="00000000" w:rsidRPr="00000000" w14:paraId="0000003D">
      <w:pPr>
        <w:pStyle w:val="Heading3"/>
        <w:keepNext w:val="1"/>
        <w:keepLines w:val="1"/>
        <w:spacing w:before="280" w:lineRule="auto"/>
        <w:ind w:left="1134"/>
        <w:rPr>
          <w:vertAlign w:val="baseline"/>
        </w:rPr>
      </w:pPr>
      <w:bookmarkStart w:colFirst="0" w:colLast="0" w:name="_3znysh7" w:id="3"/>
      <w:bookmarkEnd w:id="3"/>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Commencement</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tab/>
        <w:t xml:space="preserve">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7110.999999999999" w:type="dxa"/>
        <w:jc w:val="left"/>
        <w:tblInd w:w="107.0" w:type="pct"/>
        <w:tblBorders>
          <w:top w:color="000000" w:space="0" w:sz="4" w:val="single"/>
          <w:bottom w:color="000000" w:space="0" w:sz="4" w:val="single"/>
          <w:insideH w:color="000000" w:space="0" w:sz="4" w:val="single"/>
        </w:tblBorders>
        <w:tblLayout w:type="fixed"/>
        <w:tblLook w:val="0000"/>
      </w:tblPr>
      <w:tblGrid>
        <w:gridCol w:w="1701"/>
        <w:gridCol w:w="3828"/>
        <w:gridCol w:w="1582"/>
        <w:tblGridChange w:id="0">
          <w:tblGrid>
            <w:gridCol w:w="1701"/>
            <w:gridCol w:w="3828"/>
            <w:gridCol w:w="1582"/>
          </w:tblGrid>
        </w:tblGridChange>
      </w:tblGrid>
      <w:tr>
        <w:tc>
          <w:tcPr>
            <w:gridSpan w:val="3"/>
            <w:tcBorders>
              <w:top w:color="000000" w:space="0" w:sz="12" w:val="single"/>
              <w:bottom w:color="000000" w:space="0" w:sz="6" w:val="single"/>
            </w:tcBorders>
            <w:shd w:fill="auto" w:val="clear"/>
          </w:tcPr>
          <w:p w:rsidR="00000000" w:rsidDel="00000000" w:rsidP="00000000" w:rsidRDefault="00000000" w:rsidRPr="00000000" w14:paraId="00000040">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Commencement information</w:t>
            </w:r>
          </w:p>
        </w:tc>
      </w:tr>
      <w:tr>
        <w:tc>
          <w:tcPr>
            <w:tcBorders>
              <w:top w:color="000000" w:space="0" w:sz="6" w:val="single"/>
              <w:bottom w:color="000000" w:space="0" w:sz="6" w:val="single"/>
            </w:tcBorders>
            <w:shd w:fill="auto" w:val="clear"/>
          </w:tcPr>
          <w:p w:rsidR="00000000" w:rsidDel="00000000" w:rsidP="00000000" w:rsidRDefault="00000000" w:rsidRPr="00000000" w14:paraId="00000043">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1</w:t>
            </w:r>
          </w:p>
        </w:tc>
        <w:tc>
          <w:tcPr>
            <w:tcBorders>
              <w:top w:color="000000" w:space="0" w:sz="6" w:val="single"/>
              <w:bottom w:color="000000" w:space="0" w:sz="6" w:val="single"/>
            </w:tcBorders>
            <w:shd w:fill="auto" w:val="clear"/>
          </w:tcPr>
          <w:p w:rsidR="00000000" w:rsidDel="00000000" w:rsidP="00000000" w:rsidRDefault="00000000" w:rsidRPr="00000000" w14:paraId="00000044">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2</w:t>
            </w:r>
          </w:p>
        </w:tc>
        <w:tc>
          <w:tcPr>
            <w:tcBorders>
              <w:top w:color="000000" w:space="0" w:sz="6" w:val="single"/>
              <w:bottom w:color="000000" w:space="0" w:sz="6" w:val="single"/>
            </w:tcBorders>
            <w:shd w:fill="auto" w:val="clear"/>
          </w:tcPr>
          <w:p w:rsidR="00000000" w:rsidDel="00000000" w:rsidP="00000000" w:rsidRDefault="00000000" w:rsidRPr="00000000" w14:paraId="00000045">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3</w:t>
            </w:r>
          </w:p>
        </w:tc>
      </w:tr>
      <w:tr>
        <w:tc>
          <w:tcPr>
            <w:tcBorders>
              <w:top w:color="000000" w:space="0" w:sz="6" w:val="single"/>
              <w:bottom w:color="000000" w:space="0" w:sz="12" w:val="single"/>
            </w:tcBorders>
            <w:shd w:fill="auto" w:val="clear"/>
          </w:tcPr>
          <w:p w:rsidR="00000000" w:rsidDel="00000000" w:rsidP="00000000" w:rsidRDefault="00000000" w:rsidRPr="00000000" w14:paraId="00000046">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Provisions</w:t>
            </w:r>
          </w:p>
        </w:tc>
        <w:tc>
          <w:tcPr>
            <w:tcBorders>
              <w:top w:color="000000" w:space="0" w:sz="6" w:val="single"/>
              <w:bottom w:color="000000" w:space="0" w:sz="12" w:val="single"/>
            </w:tcBorders>
            <w:shd w:fill="auto" w:val="clear"/>
          </w:tcPr>
          <w:p w:rsidR="00000000" w:rsidDel="00000000" w:rsidP="00000000" w:rsidRDefault="00000000" w:rsidRPr="00000000" w14:paraId="00000047">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Commencement</w:t>
            </w:r>
          </w:p>
        </w:tc>
        <w:tc>
          <w:tcPr>
            <w:tcBorders>
              <w:top w:color="000000" w:space="0" w:sz="6" w:val="single"/>
              <w:bottom w:color="000000" w:space="0" w:sz="12" w:val="single"/>
            </w:tcBorders>
            <w:shd w:fill="auto" w:val="clear"/>
          </w:tcPr>
          <w:p w:rsidR="00000000" w:rsidDel="00000000" w:rsidP="00000000" w:rsidRDefault="00000000" w:rsidRPr="00000000" w14:paraId="00000048">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Date/Details</w:t>
            </w:r>
          </w:p>
        </w:tc>
      </w:tr>
      <w:tr>
        <w:tc>
          <w:tcPr>
            <w:tcBorders>
              <w:top w:color="000000" w:space="0" w:sz="12" w:val="single"/>
              <w:bottom w:color="000000" w:space="0" w:sz="12" w:val="single"/>
            </w:tcBorders>
            <w:shd w:fill="auto" w:val="cle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The whole of this Act</w:t>
            </w:r>
          </w:p>
        </w:tc>
        <w:tc>
          <w:tcPr>
            <w:tcBorders>
              <w:top w:color="000000" w:space="0" w:sz="12" w:val="single"/>
              <w:bottom w:color="000000" w:space="0" w:sz="12" w:val="single"/>
            </w:tcBorders>
            <w:shd w:fill="auto"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sz w:val="20"/>
                <w:szCs w:val="20"/>
              </w:rPr>
            </w:pPr>
            <w:r w:rsidDel="00000000" w:rsidR="00000000" w:rsidRPr="00000000">
              <w:rPr>
                <w:sz w:val="20"/>
                <w:szCs w:val="20"/>
                <w:rtl w:val="0"/>
              </w:rPr>
              <w:t xml:space="preserve">The later of:</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sz w:val="20"/>
                <w:szCs w:val="20"/>
              </w:rPr>
            </w:pPr>
            <w:r w:rsidDel="00000000" w:rsidR="00000000" w:rsidRPr="00000000">
              <w:rPr>
                <w:sz w:val="20"/>
                <w:szCs w:val="20"/>
                <w:rtl w:val="0"/>
              </w:rPr>
              <w:t xml:space="preserve">(a) the day this Act receives Royal Assent.</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sz w:val="20"/>
                <w:szCs w:val="20"/>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122" w:line="240" w:lineRule="auto"/>
        <w:ind w:left="1985" w:right="0" w:hanging="85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Note:</w:t>
        <w:tab/>
        <w:t xml:space="preserve">This table relates only to the provisions of this Act as originally enacted. It will not be amended to deal with any later amendments of this Act.</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w:t>
        <w:tab/>
        <w:t xml:space="preserve">Any information in column 3 of the table is not part of this Act. Information may be inserted in this column, or information in it may be edited, in any published version of this Act.</w:t>
      </w:r>
    </w:p>
    <w:p w:rsidR="00000000" w:rsidDel="00000000" w:rsidP="00000000" w:rsidRDefault="00000000" w:rsidRPr="00000000" w14:paraId="00000050">
      <w:pPr>
        <w:pStyle w:val="Heading3"/>
        <w:keepNext w:val="1"/>
        <w:keepLines w:val="1"/>
        <w:spacing w:before="280" w:lineRule="auto"/>
        <w:ind w:left="1134"/>
        <w:rPr>
          <w:vertAlign w:val="baseline"/>
        </w:rPr>
      </w:pPr>
      <w:bookmarkStart w:colFirst="0" w:colLast="0" w:name="_tyjcwt" w:id="4"/>
      <w:bookmarkEnd w:id="4"/>
      <w:r w:rsidDel="00000000" w:rsidR="00000000" w:rsidRPr="00000000">
        <w:rPr>
          <w:rtl w:val="0"/>
        </w:rPr>
        <w:t xml:space="preserve">3</w:t>
      </w:r>
      <w:r w:rsidDel="00000000" w:rsidR="00000000" w:rsidRPr="00000000">
        <w:rPr>
          <w:vertAlign w:val="baseline"/>
          <w:rtl w:val="0"/>
        </w:rPr>
        <w:t xml:space="preserve">  </w:t>
      </w:r>
      <w:r w:rsidDel="00000000" w:rsidR="00000000" w:rsidRPr="00000000">
        <w:rPr>
          <w:rtl w:val="0"/>
        </w:rPr>
        <w:t xml:space="preserve">Definitions</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Departmental item</w:t>
      </w:r>
      <w:r w:rsidDel="00000000" w:rsidR="00000000" w:rsidRPr="00000000">
        <w:rPr>
          <w:rtl w:val="0"/>
        </w:rPr>
        <w:t xml:space="preserve"> means the total amount set out in Schedule 1 in relation to a Parliamentary Department under the heading “Departmental”.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720" w:right="0" w:firstLine="0"/>
        <w:jc w:val="left"/>
        <w:rPr/>
      </w:pPr>
      <w:r w:rsidDel="00000000" w:rsidR="00000000" w:rsidRPr="00000000">
        <w:rPr>
          <w:rtl w:val="0"/>
        </w:rPr>
        <w:t xml:space="preserve">Note: The amounts set out opposite outcomes, under the heading“Departmental”, are “notional”.They are not part of the item, and do not in any way restrict the scope of the expenditure authorised by the item.</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Expenditure </w:t>
      </w:r>
      <w:r w:rsidDel="00000000" w:rsidR="00000000" w:rsidRPr="00000000">
        <w:rPr>
          <w:rtl w:val="0"/>
        </w:rPr>
        <w:t xml:space="preserve">means payments for expenses, acquiring assets, making loans or paying liabilities.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item </w:t>
      </w:r>
      <w:r w:rsidDel="00000000" w:rsidR="00000000" w:rsidRPr="00000000">
        <w:rPr>
          <w:rtl w:val="0"/>
        </w:rPr>
        <w:t xml:space="preserve">means any of the following:</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(a) a departmental item;</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(b) an administered item;</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(c) an administered assets and liabilities item;</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(d) another departmental item.</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Non‐corporate entity</w:t>
      </w:r>
      <w:r w:rsidDel="00000000" w:rsidR="00000000" w:rsidRPr="00000000">
        <w:rPr>
          <w:rtl w:val="0"/>
        </w:rPr>
        <w:t xml:space="preserve"> means: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(a) a non‐corporate Commonwealth entity within the meaning of the Public Governance, Performance and Accountability Act 2013; or</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(b) the High Court.</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720" w:right="0" w:firstLine="0"/>
        <w:jc w:val="left"/>
        <w:rPr/>
      </w:pPr>
      <w:r w:rsidDel="00000000" w:rsidR="00000000" w:rsidRPr="00000000">
        <w:rPr>
          <w:rtl w:val="0"/>
        </w:rPr>
        <w:t xml:space="preserve">Note: Each Parliamentary Department is a non‐corporate Commonwealth entity for the purposes of the Public Governance, Performance and Accountability Act 2013.</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Other departmental item </w:t>
      </w:r>
      <w:r w:rsidDel="00000000" w:rsidR="00000000" w:rsidRPr="00000000">
        <w:rPr>
          <w:rtl w:val="0"/>
        </w:rPr>
        <w:t xml:space="preserve">means an amount set out in Schedule 1 in relation to a Parliamentary Department opposite the heading “Equity Injections”.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Parliamentary Department</w:t>
      </w:r>
      <w:r w:rsidDel="00000000" w:rsidR="00000000" w:rsidRPr="00000000">
        <w:rPr>
          <w:rtl w:val="0"/>
        </w:rPr>
        <w:t xml:space="preserve"> means any of the following:</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(a) the Department of the Senate;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(b) the Department of the House of Representatives;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(c) the Department of Parliamentary Services;</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(d) the Parliamentary Budget Office.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Portfolio Budget Statements</w:t>
      </w:r>
      <w:r w:rsidDel="00000000" w:rsidR="00000000" w:rsidRPr="00000000">
        <w:rPr>
          <w:rtl w:val="0"/>
        </w:rPr>
        <w:t xml:space="preserve"> means the Portfolio Budget Statements that were tabled in the Senate or the House of Representatives in relation to the Bill for this Act.</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Portfolio statements </w:t>
      </w:r>
      <w:r w:rsidDel="00000000" w:rsidR="00000000" w:rsidRPr="00000000">
        <w:rPr>
          <w:rtl w:val="0"/>
        </w:rPr>
        <w:t xml:space="preserve">means the Portfolio Budget Statements.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President </w:t>
      </w:r>
      <w:r w:rsidDel="00000000" w:rsidR="00000000" w:rsidRPr="00000000">
        <w:rPr>
          <w:rtl w:val="0"/>
        </w:rPr>
        <w:t xml:space="preserve">means the President of the Senate.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Responsible Presiding Officer</w:t>
      </w:r>
      <w:r w:rsidDel="00000000" w:rsidR="00000000" w:rsidRPr="00000000">
        <w:rPr>
          <w:rtl w:val="0"/>
        </w:rPr>
        <w:t xml:space="preserve"> means: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(a) in relation to the Department of the Senate—the President; or</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(b) in relation to the Department of the House of</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Representatives—the Speaker; or</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(c) in relation to the Department of Parliamentary Services—the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President and the Speaker together; or</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(d) in relation to the Parliamentary Budget Office—the President and the Speaker together.</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Speaker </w:t>
      </w:r>
      <w:r w:rsidDel="00000000" w:rsidR="00000000" w:rsidRPr="00000000">
        <w:rPr>
          <w:rtl w:val="0"/>
        </w:rPr>
        <w:t xml:space="preserve">means the Speaker of the House of Representatives.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b w:val="1"/>
          <w:i w:val="1"/>
          <w:rtl w:val="0"/>
        </w:rPr>
        <w:t xml:space="preserve">Special account</w:t>
      </w:r>
      <w:r w:rsidDel="00000000" w:rsidR="00000000" w:rsidRPr="00000000">
        <w:rPr>
          <w:rtl w:val="0"/>
        </w:rPr>
        <w:t xml:space="preserve"> has the same meaning as in the Public Governance, Performance and Accountability Act 2013.</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r>
    </w:p>
    <w:p w:rsidR="00000000" w:rsidDel="00000000" w:rsidP="00000000" w:rsidRDefault="00000000" w:rsidRPr="00000000" w14:paraId="00000071">
      <w:pPr>
        <w:pStyle w:val="Heading3"/>
        <w:keepNext w:val="1"/>
        <w:keepLines w:val="1"/>
        <w:spacing w:before="280" w:lineRule="auto"/>
        <w:ind w:left="1134"/>
        <w:rPr>
          <w:vertAlign w:val="baseline"/>
        </w:rPr>
      </w:pPr>
      <w:bookmarkStart w:colFirst="0" w:colLast="0" w:name="_1t3h5sf" w:id="5"/>
      <w:bookmarkEnd w:id="5"/>
      <w:r w:rsidDel="00000000" w:rsidR="00000000" w:rsidRPr="00000000">
        <w:rPr>
          <w:rtl w:val="0"/>
        </w:rPr>
        <w:t xml:space="preserve">4 </w:t>
      </w:r>
      <w:r w:rsidDel="00000000" w:rsidR="00000000" w:rsidRPr="00000000">
        <w:rPr>
          <w:vertAlign w:val="baseline"/>
          <w:rtl w:val="0"/>
        </w:rPr>
        <w:t xml:space="preserve"> </w:t>
      </w:r>
      <w:r w:rsidDel="00000000" w:rsidR="00000000" w:rsidRPr="00000000">
        <w:rPr>
          <w:rtl w:val="0"/>
        </w:rPr>
        <w:t xml:space="preserve">Portfolio statements</w:t>
      </w:r>
      <w:r w:rsidDel="00000000" w:rsidR="00000000" w:rsidRPr="00000000">
        <w:rPr>
          <w:rtl w:val="0"/>
        </w:rPr>
      </w:r>
    </w:p>
    <w:p w:rsidR="00000000" w:rsidDel="00000000" w:rsidP="00000000" w:rsidRDefault="00000000" w:rsidRPr="00000000" w14:paraId="00000072">
      <w:pPr>
        <w:tabs>
          <w:tab w:val="right" w:pos="1021"/>
        </w:tabs>
        <w:rPr/>
      </w:pPr>
      <w:r w:rsidDel="00000000" w:rsidR="00000000" w:rsidRPr="00000000">
        <w:rPr>
          <w:rtl w:val="0"/>
        </w:rPr>
        <w:tab/>
        <w:t xml:space="preserve">Portfolio statements are declared to be relevant documents for the purposes section 15AB of the Acts Interpretation Act 1901.</w:t>
      </w:r>
    </w:p>
    <w:p w:rsidR="00000000" w:rsidDel="00000000" w:rsidP="00000000" w:rsidRDefault="00000000" w:rsidRPr="00000000" w14:paraId="00000073">
      <w:pPr>
        <w:ind w:left="0"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Note: See paragraph 15AB(2)(g) of the Acts Interpretation Act 1901 which provides that the material that may be considered in the interpretation of a provision of an Act includes any document that is declared by the Act to be a relevant document.</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360" w:lineRule="auto"/>
        <w:ind w:left="1134" w:right="0" w:hanging="1134"/>
        <w:jc w:val="left"/>
        <w:rPr/>
      </w:pPr>
      <w:r w:rsidDel="00000000" w:rsidR="00000000" w:rsidRPr="00000000">
        <w:rPr>
          <w:rtl w:val="0"/>
        </w:rPr>
        <w:t xml:space="preserve">In this Act:</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360" w:lineRule="auto"/>
        <w:ind w:left="0" w:right="0" w:firstLine="0"/>
        <w:jc w:val="left"/>
        <w:rPr/>
      </w:pPr>
      <w:r w:rsidDel="00000000" w:rsidR="00000000" w:rsidRPr="00000000">
        <w:rPr>
          <w:b w:val="1"/>
          <w:i w:val="1"/>
          <w:rtl w:val="0"/>
        </w:rPr>
        <w:t xml:space="preserve">Administered assets and liabilities item</w:t>
      </w:r>
      <w:r w:rsidDel="00000000" w:rsidR="00000000" w:rsidRPr="00000000">
        <w:rPr>
          <w:rtl w:val="0"/>
        </w:rPr>
        <w:t xml:space="preserve"> means an amount set out in Schedule 1 in relation to a Parliamentary Department opposite the heading “Administered Assets and Liabilities”.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360" w:lineRule="auto"/>
        <w:ind w:left="0" w:right="0" w:firstLine="0"/>
        <w:jc w:val="left"/>
        <w:rPr/>
      </w:pPr>
      <w:r w:rsidDel="00000000" w:rsidR="00000000" w:rsidRPr="00000000">
        <w:rPr>
          <w:b w:val="1"/>
          <w:i w:val="1"/>
          <w:rtl w:val="0"/>
        </w:rPr>
        <w:t xml:space="preserve">Administered item</w:t>
      </w:r>
      <w:r w:rsidDel="00000000" w:rsidR="00000000" w:rsidRPr="00000000">
        <w:rPr>
          <w:rtl w:val="0"/>
        </w:rPr>
        <w:t xml:space="preserve"> means an amount set out in Schedule 1 opposite an outcome for a Parliamentary Department under the heading “Administered”.</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360" w:lineRule="auto"/>
        <w:ind w:left="0" w:right="0" w:firstLine="0"/>
        <w:jc w:val="left"/>
        <w:rPr/>
      </w:pPr>
      <w:r w:rsidDel="00000000" w:rsidR="00000000" w:rsidRPr="00000000">
        <w:rPr>
          <w:b w:val="1"/>
          <w:i w:val="1"/>
          <w:rtl w:val="0"/>
        </w:rPr>
        <w:t xml:space="preserve">Current year</w:t>
      </w:r>
      <w:r w:rsidDel="00000000" w:rsidR="00000000" w:rsidRPr="00000000">
        <w:rPr>
          <w:rtl w:val="0"/>
        </w:rPr>
        <w:t xml:space="preserve"> means the financial year ending on 30 June 2019.</w:t>
      </w:r>
    </w:p>
    <w:p w:rsidR="00000000" w:rsidDel="00000000" w:rsidP="00000000" w:rsidRDefault="00000000" w:rsidRPr="00000000" w14:paraId="00000079">
      <w:pPr>
        <w:pStyle w:val="Heading3"/>
        <w:tabs>
          <w:tab w:val="right" w:pos="1021"/>
        </w:tabs>
        <w:spacing w:before="180" w:line="360" w:lineRule="auto"/>
        <w:ind w:left="0" w:firstLine="0"/>
        <w:rPr/>
      </w:pPr>
      <w:bookmarkStart w:colFirst="0" w:colLast="0" w:name="_wrue8p9cwm36" w:id="6"/>
      <w:bookmarkEnd w:id="6"/>
      <w:r w:rsidDel="00000000" w:rsidR="00000000" w:rsidRPr="00000000">
        <w:rPr>
          <w:rtl w:val="0"/>
        </w:rPr>
        <w:t xml:space="preserve">5  Notional transactions between entities that are part of the Commonwealth</w:t>
      </w:r>
    </w:p>
    <w:p w:rsidR="00000000" w:rsidDel="00000000" w:rsidP="00000000" w:rsidRDefault="00000000" w:rsidRPr="00000000" w14:paraId="0000007A">
      <w:pPr>
        <w:tabs>
          <w:tab w:val="right" w:pos="1021"/>
        </w:tabs>
        <w:rPr/>
      </w:pPr>
      <w:r w:rsidDel="00000000" w:rsidR="00000000" w:rsidRPr="00000000">
        <w:rPr>
          <w:rtl w:val="0"/>
        </w:rPr>
        <w:t xml:space="preserve">For the purposes of this Act, notional transactions between non‐corporate entities are to be treated as if they were real transactions.</w:t>
      </w:r>
    </w:p>
    <w:p w:rsidR="00000000" w:rsidDel="00000000" w:rsidP="00000000" w:rsidRDefault="00000000" w:rsidRPr="00000000" w14:paraId="0000007B">
      <w:pPr>
        <w:tabs>
          <w:tab w:val="right" w:pos="1021"/>
        </w:tabs>
        <w:rPr/>
      </w:pPr>
      <w:r w:rsidDel="00000000" w:rsidR="00000000" w:rsidRPr="00000000">
        <w:rPr>
          <w:rtl w:val="0"/>
        </w:rPr>
      </w:r>
    </w:p>
    <w:p w:rsidR="00000000" w:rsidDel="00000000" w:rsidP="00000000" w:rsidRDefault="00000000" w:rsidRPr="00000000" w14:paraId="0000007C">
      <w:pPr>
        <w:tabs>
          <w:tab w:val="right" w:pos="1021"/>
        </w:tabs>
        <w:rPr/>
      </w:pPr>
      <w:r w:rsidDel="00000000" w:rsidR="00000000" w:rsidRPr="00000000">
        <w:rPr>
          <w:rtl w:val="0"/>
        </w:rPr>
        <w:t xml:space="preserve">Note: This section applies, for example, to a “payment” between non‐corporate entities that are both part of the Commonwealth. One of the effects of this section is that the payment will be debited from an appropriation for the paying non‐corporate entity, even though no payment is actually made from the Consolidated Revenue Fund. This is consistent with section 76 of</w:t>
      </w:r>
      <w:r w:rsidDel="00000000" w:rsidR="00000000" w:rsidRPr="00000000">
        <w:rPr>
          <w:i w:val="1"/>
          <w:rtl w:val="0"/>
        </w:rPr>
        <w:t xml:space="preserve"> </w:t>
      </w:r>
      <w:r w:rsidDel="00000000" w:rsidR="00000000" w:rsidRPr="00000000">
        <w:rPr>
          <w:b w:val="1"/>
          <w:i w:val="1"/>
          <w:rtl w:val="0"/>
        </w:rPr>
        <w:t xml:space="preserve">the Public Governance, Performance and Accountability Act 2013.</w:t>
      </w:r>
      <w:r w:rsidDel="00000000" w:rsidR="00000000" w:rsidRPr="00000000">
        <w:rPr>
          <w:rtl w:val="0"/>
        </w:rPr>
      </w:r>
    </w:p>
    <w:p w:rsidR="00000000" w:rsidDel="00000000" w:rsidP="00000000" w:rsidRDefault="00000000" w:rsidRPr="00000000" w14:paraId="0000007D">
      <w:pPr>
        <w:pStyle w:val="Heading1"/>
        <w:spacing w:before="280" w:lineRule="auto"/>
        <w:rPr>
          <w:vertAlign w:val="baseline"/>
        </w:rPr>
      </w:pPr>
      <w:bookmarkStart w:colFirst="0" w:colLast="0" w:name="_ycml3wmhr13w" w:id="7"/>
      <w:bookmarkEnd w:id="7"/>
      <w:r w:rsidDel="00000000" w:rsidR="00000000" w:rsidRPr="00000000">
        <w:rPr>
          <w:vertAlign w:val="baseline"/>
          <w:rtl w:val="0"/>
        </w:rPr>
        <w:t xml:space="preserve">Part 2—</w:t>
      </w:r>
      <w:r w:rsidDel="00000000" w:rsidR="00000000" w:rsidRPr="00000000">
        <w:rPr>
          <w:rtl w:val="0"/>
        </w:rPr>
        <w:t xml:space="preserve">Appropriation items</w:t>
      </w:r>
      <w:r w:rsidDel="00000000" w:rsidR="00000000" w:rsidRPr="00000000">
        <w:rPr>
          <w:rtl w:val="0"/>
        </w:rPr>
      </w:r>
    </w:p>
    <w:p w:rsidR="00000000" w:rsidDel="00000000" w:rsidP="00000000" w:rsidRDefault="00000000" w:rsidRPr="00000000" w14:paraId="0000007E">
      <w:pPr>
        <w:pStyle w:val="Heading3"/>
        <w:keepNext w:val="1"/>
        <w:keepLines w:val="1"/>
        <w:spacing w:before="280" w:lineRule="auto"/>
        <w:ind w:left="1134"/>
        <w:rPr>
          <w:vertAlign w:val="baseline"/>
        </w:rPr>
      </w:pPr>
      <w:bookmarkStart w:colFirst="0" w:colLast="0" w:name="_17dp8vu" w:id="8"/>
      <w:bookmarkEnd w:id="8"/>
      <w:r w:rsidDel="00000000" w:rsidR="00000000" w:rsidRPr="00000000">
        <w:rPr>
          <w:vertAlign w:val="baseline"/>
          <w:rtl w:val="0"/>
        </w:rPr>
        <w:t xml:space="preserve">6  </w:t>
      </w:r>
      <w:r w:rsidDel="00000000" w:rsidR="00000000" w:rsidRPr="00000000">
        <w:rPr>
          <w:rtl w:val="0"/>
        </w:rPr>
        <w:t xml:space="preserve">Summary of appropriations</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pPr>
      <w:r w:rsidDel="00000000" w:rsidR="00000000" w:rsidRPr="00000000">
        <w:rPr>
          <w:rtl w:val="0"/>
        </w:rPr>
        <w:t xml:space="preserve">The total of the items specified in Schedule 1 is $543,376</w:t>
      </w:r>
      <w:r w:rsidDel="00000000" w:rsidR="00000000" w:rsidRPr="00000000">
        <w:rPr>
          <w:rtl w:val="0"/>
        </w:rPr>
        <w:t xml:space="preserve">,000,000</w:t>
      </w:r>
      <w:r w:rsidDel="00000000" w:rsidR="00000000" w:rsidRPr="00000000">
        <w:rPr>
          <w:rtl w:val="0"/>
        </w:rPr>
      </w:r>
    </w:p>
    <w:p w:rsidR="00000000" w:rsidDel="00000000" w:rsidP="00000000" w:rsidRDefault="00000000" w:rsidRPr="00000000" w14:paraId="00000080">
      <w:pPr>
        <w:pStyle w:val="Heading3"/>
        <w:keepNext w:val="1"/>
        <w:keepLines w:val="1"/>
        <w:spacing w:before="280" w:lineRule="auto"/>
        <w:ind w:left="1134"/>
        <w:rPr/>
      </w:pPr>
      <w:bookmarkStart w:colFirst="0" w:colLast="0" w:name="_3rdcrjn" w:id="9"/>
      <w:bookmarkEnd w:id="9"/>
      <w:r w:rsidDel="00000000" w:rsidR="00000000" w:rsidRPr="00000000">
        <w:rPr>
          <w:vertAlign w:val="baseline"/>
          <w:rtl w:val="0"/>
        </w:rPr>
        <w:t xml:space="preserve">7  </w:t>
      </w:r>
      <w:r w:rsidDel="00000000" w:rsidR="00000000" w:rsidRPr="00000000">
        <w:rPr>
          <w:rtl w:val="0"/>
        </w:rPr>
        <w:t xml:space="preserve">Summary of services for which money is expected to be received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The total of the items specified in Schedule 2 is </w:t>
      </w:r>
      <w:r w:rsidDel="00000000" w:rsidR="00000000" w:rsidRPr="00000000">
        <w:rPr>
          <w:rtl w:val="0"/>
        </w:rPr>
        <w:t xml:space="preserve">$</w:t>
      </w:r>
      <w:r w:rsidDel="00000000" w:rsidR="00000000" w:rsidRPr="00000000">
        <w:rPr>
          <w:rtl w:val="0"/>
        </w:rPr>
        <w:t xml:space="preserve">545,839</w:t>
      </w:r>
      <w:r w:rsidDel="00000000" w:rsidR="00000000" w:rsidRPr="00000000">
        <w:rPr>
          <w:rtl w:val="0"/>
        </w:rPr>
        <w:t xml:space="preserve">,000,000</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1"/>
        <w:ind w:left="0" w:firstLine="0"/>
        <w:rPr/>
      </w:pPr>
      <w:bookmarkStart w:colFirst="0" w:colLast="0" w:name="_gwxodu7z0zyx" w:id="10"/>
      <w:bookmarkEnd w:id="10"/>
      <w:r w:rsidDel="00000000" w:rsidR="00000000" w:rsidRPr="00000000">
        <w:rPr>
          <w:rtl w:val="0"/>
        </w:rPr>
        <w:t xml:space="preserve">Part 3—Advance to the responsible Presiding Officer</w:t>
      </w:r>
    </w:p>
    <w:p w:rsidR="00000000" w:rsidDel="00000000" w:rsidP="00000000" w:rsidRDefault="00000000" w:rsidRPr="00000000" w14:paraId="00000086">
      <w:pPr>
        <w:pStyle w:val="Heading3"/>
        <w:keepNext w:val="1"/>
        <w:keepLines w:val="1"/>
        <w:spacing w:before="280" w:lineRule="auto"/>
        <w:rPr>
          <w:vertAlign w:val="baseline"/>
        </w:rPr>
      </w:pPr>
      <w:bookmarkStart w:colFirst="0" w:colLast="0" w:name="_26in1rg" w:id="11"/>
      <w:bookmarkEnd w:id="11"/>
      <w:r w:rsidDel="00000000" w:rsidR="00000000" w:rsidRPr="00000000">
        <w:rPr>
          <w:vertAlign w:val="baseline"/>
          <w:rtl w:val="0"/>
        </w:rPr>
        <w:t xml:space="preserve">8  </w:t>
      </w:r>
      <w:r w:rsidDel="00000000" w:rsidR="00000000" w:rsidRPr="00000000">
        <w:rPr>
          <w:rtl w:val="0"/>
        </w:rPr>
        <w:t xml:space="preserve">Advance to the responsible Presiding Officer</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afterAutospacing="0" w:before="180" w:line="240" w:lineRule="auto"/>
        <w:ind w:left="720" w:right="0" w:hanging="360"/>
        <w:jc w:val="left"/>
        <w:rPr>
          <w:u w:val="none"/>
        </w:rPr>
      </w:pPr>
      <w:r w:rsidDel="00000000" w:rsidR="00000000" w:rsidRPr="00000000">
        <w:rPr>
          <w:rtl w:val="0"/>
        </w:rPr>
        <w:t xml:space="preserve">This section applies if the responsible Presiding Officer is satisfied that there is an urgent need for expenditure in relation to a Parliamentary Department, in the current year, that is not provided for, or is insufficiently provided for, in Schedule 1:</w:t>
      </w:r>
    </w:p>
    <w:p w:rsidR="00000000" w:rsidDel="00000000" w:rsidP="00000000" w:rsidRDefault="00000000" w:rsidRPr="00000000" w14:paraId="0000008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1440" w:right="0" w:hanging="360"/>
        <w:jc w:val="left"/>
        <w:rPr>
          <w:u w:val="none"/>
        </w:rPr>
      </w:pPr>
      <w:r w:rsidDel="00000000" w:rsidR="00000000" w:rsidRPr="00000000">
        <w:rPr>
          <w:rtl w:val="0"/>
        </w:rPr>
        <w:t xml:space="preserve">because of an erroneous omission or understatement; or</w:t>
      </w:r>
    </w:p>
    <w:p w:rsidR="00000000" w:rsidDel="00000000" w:rsidP="00000000" w:rsidRDefault="00000000" w:rsidRPr="00000000" w14:paraId="00000089">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1440" w:right="0" w:hanging="360"/>
        <w:jc w:val="left"/>
      </w:pPr>
      <w:r w:rsidDel="00000000" w:rsidR="00000000" w:rsidRPr="00000000">
        <w:rPr>
          <w:rtl w:val="0"/>
        </w:rPr>
        <w:t xml:space="preserve"> because the expenditure was unforeseen until after the last</w:t>
      </w:r>
    </w:p>
    <w:p w:rsidR="00000000" w:rsidDel="00000000" w:rsidP="00000000" w:rsidRDefault="00000000" w:rsidRPr="00000000" w14:paraId="0000008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1440" w:right="0" w:hanging="360"/>
        <w:jc w:val="left"/>
      </w:pPr>
      <w:r w:rsidDel="00000000" w:rsidR="00000000" w:rsidRPr="00000000">
        <w:rPr>
          <w:rtl w:val="0"/>
        </w:rPr>
        <w:t xml:space="preserve">day on which it was practicable to provide for it in the Bill for this Act before that Bill was introduced into the House of Representatives.</w:t>
      </w:r>
    </w:p>
    <w:p w:rsidR="00000000" w:rsidDel="00000000" w:rsidP="00000000" w:rsidRDefault="00000000" w:rsidRPr="00000000" w14:paraId="0000008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720" w:right="0" w:hanging="360"/>
        <w:jc w:val="left"/>
      </w:pPr>
      <w:r w:rsidDel="00000000" w:rsidR="00000000" w:rsidRPr="00000000">
        <w:rPr>
          <w:rtl w:val="0"/>
        </w:rPr>
        <w:t xml:space="preserve">This Act has effect as if Schedule 1 were amended, in accordance with a determination of the responsible Presiding Officer, to make provision for so much (if any) of the additional expenditure as the responsible Presiding Officer determines.</w:t>
      </w:r>
    </w:p>
    <w:p w:rsidR="00000000" w:rsidDel="00000000" w:rsidP="00000000" w:rsidRDefault="00000000" w:rsidRPr="00000000" w14:paraId="0000008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720" w:right="0" w:hanging="360"/>
        <w:jc w:val="left"/>
      </w:pPr>
      <w:r w:rsidDel="00000000" w:rsidR="00000000" w:rsidRPr="00000000">
        <w:rPr>
          <w:rtl w:val="0"/>
        </w:rPr>
        <w:t xml:space="preserve">The total of the amounts determined under subsection (2) for the Department of the Senate cannot be more than $300,000.</w:t>
      </w:r>
    </w:p>
    <w:p w:rsidR="00000000" w:rsidDel="00000000" w:rsidP="00000000" w:rsidRDefault="00000000" w:rsidRPr="00000000" w14:paraId="0000008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720" w:right="0" w:hanging="360"/>
        <w:jc w:val="left"/>
      </w:pPr>
      <w:r w:rsidDel="00000000" w:rsidR="00000000" w:rsidRPr="00000000">
        <w:rPr>
          <w:rtl w:val="0"/>
        </w:rPr>
        <w:t xml:space="preserve">The total of the amounts determined under subsection (2) for the Department of the House of Representatives cannot be more than $300,000.</w:t>
      </w:r>
    </w:p>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720" w:right="0" w:hanging="360"/>
        <w:jc w:val="left"/>
      </w:pPr>
      <w:r w:rsidDel="00000000" w:rsidR="00000000" w:rsidRPr="00000000">
        <w:rPr>
          <w:rtl w:val="0"/>
        </w:rPr>
        <w:t xml:space="preserve">The total of the amounts determined under subsection (2) for the Department of Parliamentary Services cannot be more than $1 million.</w:t>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720" w:right="0" w:hanging="360"/>
        <w:jc w:val="left"/>
      </w:pPr>
      <w:r w:rsidDel="00000000" w:rsidR="00000000" w:rsidRPr="00000000">
        <w:rPr>
          <w:rtl w:val="0"/>
        </w:rPr>
        <w:t xml:space="preserve">The total of the amounts determined under subsection (2) for the Parliamentary Budget Office cannot be more than $300,000.</w:t>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afterAutospacing="0" w:before="0" w:beforeAutospacing="0" w:line="240" w:lineRule="auto"/>
        <w:ind w:left="720" w:right="0" w:hanging="360"/>
        <w:jc w:val="left"/>
      </w:pPr>
      <w:r w:rsidDel="00000000" w:rsidR="00000000" w:rsidRPr="00000000">
        <w:rPr>
          <w:rtl w:val="0"/>
        </w:rPr>
        <w:t xml:space="preserve">A determination made under subsection (2) is a legislative instrument,</w:t>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1021"/>
        </w:tabs>
        <w:spacing w:after="0" w:before="0" w:beforeAutospacing="0" w:line="240" w:lineRule="auto"/>
        <w:ind w:left="720" w:right="0" w:hanging="360"/>
        <w:jc w:val="left"/>
      </w:pPr>
      <w:r w:rsidDel="00000000" w:rsidR="00000000" w:rsidRPr="00000000">
        <w:rPr>
          <w:rtl w:val="0"/>
        </w:rPr>
        <w:t xml:space="preserve">but neither section 42 (disallowance) nor Part 4 of Chapter 3 (sunsetting) of the Legislation Act 2003 applies to the determination.</w:t>
      </w:r>
      <w:r w:rsidDel="00000000" w:rsidR="00000000" w:rsidRPr="00000000">
        <w:rPr>
          <w:rtl w:val="0"/>
        </w:rPr>
      </w:r>
    </w:p>
    <w:p w:rsidR="00000000" w:rsidDel="00000000" w:rsidP="00000000" w:rsidRDefault="00000000" w:rsidRPr="00000000" w14:paraId="00000092">
      <w:pPr>
        <w:pStyle w:val="Heading1"/>
        <w:rPr/>
      </w:pPr>
      <w:bookmarkStart w:colFirst="0" w:colLast="0" w:name="_35nkun2" w:id="12"/>
      <w:bookmarkEnd w:id="12"/>
      <w:r w:rsidDel="00000000" w:rsidR="00000000" w:rsidRPr="00000000">
        <w:rPr>
          <w:rtl w:val="0"/>
        </w:rPr>
        <w:t xml:space="preserve">Part 4—Miscellaneous</w:t>
      </w:r>
    </w:p>
    <w:p w:rsidR="00000000" w:rsidDel="00000000" w:rsidP="00000000" w:rsidRDefault="00000000" w:rsidRPr="00000000" w14:paraId="00000093">
      <w:pPr>
        <w:pStyle w:val="Heading3"/>
        <w:keepNext w:val="1"/>
        <w:keepLines w:val="1"/>
        <w:spacing w:before="280" w:lineRule="auto"/>
        <w:rPr/>
      </w:pPr>
      <w:bookmarkStart w:colFirst="0" w:colLast="0" w:name="_pluirnl02p63" w:id="13"/>
      <w:bookmarkEnd w:id="13"/>
      <w:r w:rsidDel="00000000" w:rsidR="00000000" w:rsidRPr="00000000">
        <w:rPr>
          <w:vertAlign w:val="baseline"/>
          <w:rtl w:val="0"/>
        </w:rPr>
        <w:t xml:space="preserve">9  </w:t>
      </w:r>
      <w:r w:rsidDel="00000000" w:rsidR="00000000" w:rsidRPr="00000000">
        <w:rPr>
          <w:rtl w:val="0"/>
        </w:rPr>
        <w:t xml:space="preserve">Crediting amounts to special accounts</w:t>
      </w:r>
    </w:p>
    <w:p w:rsidR="00000000" w:rsidDel="00000000" w:rsidP="00000000" w:rsidRDefault="00000000" w:rsidRPr="00000000" w14:paraId="00000094">
      <w:pPr>
        <w:tabs>
          <w:tab w:val="left" w:pos="709"/>
        </w:tabs>
        <w:rPr/>
      </w:pPr>
      <w:r w:rsidDel="00000000" w:rsidR="00000000" w:rsidRPr="00000000">
        <w:rPr>
          <w:rtl w:val="0"/>
        </w:rPr>
      </w:r>
    </w:p>
    <w:p w:rsidR="00000000" w:rsidDel="00000000" w:rsidP="00000000" w:rsidRDefault="00000000" w:rsidRPr="00000000" w14:paraId="00000095">
      <w:pPr>
        <w:tabs>
          <w:tab w:val="left" w:pos="709"/>
        </w:tabs>
        <w:rPr/>
      </w:pPr>
      <w:r w:rsidDel="00000000" w:rsidR="00000000" w:rsidRPr="00000000">
        <w:rPr>
          <w:rtl w:val="0"/>
        </w:rPr>
        <w:t xml:space="preserve">If any of the purposes of a special account is a purpose that is covered by an item (whether or not the item expressly refers to the special account), then amounts may be debited against the appropriation for that item and credited to that special account.</w:t>
      </w:r>
    </w:p>
    <w:p w:rsidR="00000000" w:rsidDel="00000000" w:rsidP="00000000" w:rsidRDefault="00000000" w:rsidRPr="00000000" w14:paraId="00000096">
      <w:pPr>
        <w:pStyle w:val="Heading3"/>
        <w:keepNext w:val="1"/>
        <w:keepLines w:val="1"/>
        <w:spacing w:before="280" w:lineRule="auto"/>
        <w:rPr/>
      </w:pPr>
      <w:bookmarkStart w:colFirst="0" w:colLast="0" w:name="_44sinio" w:id="14"/>
      <w:bookmarkEnd w:id="14"/>
      <w:r w:rsidDel="00000000" w:rsidR="00000000" w:rsidRPr="00000000">
        <w:rPr>
          <w:vertAlign w:val="baseline"/>
          <w:rtl w:val="0"/>
        </w:rPr>
        <w:t xml:space="preserve">10</w:t>
      </w:r>
      <w:r w:rsidDel="00000000" w:rsidR="00000000" w:rsidRPr="00000000">
        <w:rPr>
          <w:rtl w:val="0"/>
        </w:rPr>
        <w:t xml:space="preserve">  Appropriation of the Consolidated Revenue Fund</w:t>
      </w:r>
    </w:p>
    <w:p w:rsidR="00000000" w:rsidDel="00000000" w:rsidP="00000000" w:rsidRDefault="00000000" w:rsidRPr="00000000" w14:paraId="00000097">
      <w:pPr>
        <w:rPr/>
      </w:pPr>
      <w:bookmarkStart w:colFirst="0" w:colLast="0" w:name="_7ia3b7kx2pbc" w:id="15"/>
      <w:bookmarkEnd w:id="15"/>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miwlvh28zsxe" w:id="16"/>
      <w:bookmarkEnd w:id="16"/>
      <w:r w:rsidDel="00000000" w:rsidR="00000000" w:rsidRPr="00000000">
        <w:rPr>
          <w:rtl w:val="0"/>
        </w:rPr>
        <w:t xml:space="preserve">The Consolidated Revenue Fund is appropriated as necessary for the purposes of this Act, including the operation of this Act as affected by the Public Governance, Performance and Accountability Act 2013.</w:t>
      </w:r>
      <w:r w:rsidDel="00000000" w:rsidR="00000000" w:rsidRPr="00000000">
        <w:rPr>
          <w:rtl w:val="0"/>
        </w:rPr>
      </w:r>
    </w:p>
    <w:p w:rsidR="00000000" w:rsidDel="00000000" w:rsidP="00000000" w:rsidRDefault="00000000" w:rsidRPr="00000000" w14:paraId="00000099">
      <w:pPr>
        <w:pStyle w:val="Heading3"/>
        <w:keepNext w:val="1"/>
        <w:keepLines w:val="1"/>
        <w:spacing w:before="280" w:lineRule="auto"/>
        <w:rPr/>
      </w:pPr>
      <w:bookmarkStart w:colFirst="0" w:colLast="0" w:name="_2jxsxqh" w:id="17"/>
      <w:bookmarkEnd w:id="17"/>
      <w:r w:rsidDel="00000000" w:rsidR="00000000" w:rsidRPr="00000000">
        <w:rPr>
          <w:rtl w:val="0"/>
        </w:rPr>
        <w:t xml:space="preserve">11  Repeal of this Act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This Act is repealed at the start of 1 July 2020.</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1"/>
        <w:ind w:left="0" w:firstLine="0"/>
        <w:rPr/>
      </w:pPr>
      <w:bookmarkStart w:colFirst="0" w:colLast="0" w:name="_pxyjep1apsvl" w:id="18"/>
      <w:bookmarkEnd w:id="18"/>
      <w:r w:rsidDel="00000000" w:rsidR="00000000" w:rsidRPr="00000000">
        <w:rPr>
          <w:rtl w:val="0"/>
        </w:rPr>
        <w:t xml:space="preserve">Schedule 1—Services for which money is appropriated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spacing w:line="276" w:lineRule="auto"/>
        <w:rPr>
          <w:rFonts w:ascii="Arial" w:cs="Arial" w:eastAsia="Arial" w:hAnsi="Arial"/>
        </w:rPr>
      </w:pPr>
      <w:r w:rsidDel="00000000" w:rsidR="00000000" w:rsidRPr="00000000">
        <w:rPr>
          <w:rtl w:val="0"/>
        </w:rPr>
      </w:r>
    </w:p>
    <w:tbl>
      <w:tblPr>
        <w:tblStyle w:val="Table2"/>
        <w:tblW w:w="708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4.5"/>
        <w:gridCol w:w="3544.5"/>
        <w:tblGridChange w:id="0">
          <w:tblGrid>
            <w:gridCol w:w="3544.5"/>
            <w:gridCol w:w="354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jc w:val="right"/>
              <w:rPr/>
            </w:pPr>
            <w:r w:rsidDel="00000000" w:rsidR="00000000" w:rsidRPr="00000000">
              <w:rPr>
                <w:rtl w:val="0"/>
              </w:rPr>
              <w:t xml:space="preserve">Totals (,000,000)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Attorney-General &amp; Justice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3,375</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Defence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jc w:val="right"/>
              <w:rPr/>
            </w:pPr>
            <w:r w:rsidDel="00000000" w:rsidR="00000000" w:rsidRPr="00000000">
              <w:rPr>
                <w:rtl w:val="0"/>
              </w:rPr>
              <w:t xml:space="preserve">27,000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Education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jc w:val="right"/>
              <w:rPr/>
            </w:pPr>
            <w:r w:rsidDel="00000000" w:rsidR="00000000" w:rsidRPr="00000000">
              <w:rPr>
                <w:rtl w:val="0"/>
              </w:rPr>
              <w:t xml:space="preserve">65,000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Treasury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jc w:val="right"/>
              <w:rPr/>
            </w:pPr>
            <w:r w:rsidDel="00000000" w:rsidR="00000000" w:rsidRPr="00000000">
              <w:rPr>
                <w:rtl w:val="0"/>
              </w:rPr>
              <w:t xml:space="preserve">3,500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Foreign Affairs &amp; Trade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jc w:val="right"/>
              <w:rPr/>
            </w:pPr>
            <w:r w:rsidDel="00000000" w:rsidR="00000000" w:rsidRPr="00000000">
              <w:rPr>
                <w:rtl w:val="0"/>
              </w:rPr>
              <w:t xml:space="preserve">5,750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Agriculture and Water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jc w:val="right"/>
              <w:rPr/>
            </w:pPr>
            <w:r w:rsidDel="00000000" w:rsidR="00000000" w:rsidRPr="00000000">
              <w:rPr>
                <w:rtl w:val="0"/>
              </w:rPr>
              <w:t xml:space="preserve">3,000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Health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jc w:val="right"/>
              <w:rPr/>
            </w:pPr>
            <w:r w:rsidDel="00000000" w:rsidR="00000000" w:rsidRPr="00000000">
              <w:rPr>
                <w:rtl w:val="0"/>
              </w:rPr>
              <w:t xml:space="preserve">80,000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Immigration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jc w:val="right"/>
              <w:rPr/>
            </w:pPr>
            <w:r w:rsidDel="00000000" w:rsidR="00000000" w:rsidRPr="00000000">
              <w:rPr>
                <w:rtl w:val="0"/>
              </w:rPr>
              <w:t xml:space="preserve">3,080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Environment and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jc w:val="right"/>
              <w:rPr/>
            </w:pPr>
            <w:r w:rsidDel="00000000" w:rsidR="00000000" w:rsidRPr="00000000">
              <w:rPr>
                <w:rtl w:val="0"/>
              </w:rPr>
              <w:t xml:space="preserve">4,200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Industry, Innovation &amp;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jc w:val="right"/>
              <w:rPr/>
            </w:pPr>
            <w:r w:rsidDel="00000000" w:rsidR="00000000" w:rsidRPr="00000000">
              <w:rPr>
                <w:rtl w:val="0"/>
              </w:rPr>
              <w:t xml:space="preserve">12,000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Infrastructure &amp; 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jc w:val="right"/>
              <w:rPr/>
            </w:pPr>
            <w:r w:rsidDel="00000000" w:rsidR="00000000" w:rsidRPr="00000000">
              <w:rPr>
                <w:rtl w:val="0"/>
              </w:rPr>
              <w:t xml:space="preserve">35,000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Indigenous Affairs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jc w:val="right"/>
              <w:rPr/>
            </w:pPr>
            <w:r w:rsidDel="00000000" w:rsidR="00000000" w:rsidRPr="00000000">
              <w:rPr>
                <w:rtl w:val="0"/>
              </w:rPr>
              <w:t xml:space="preserve">2,500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Communications &amp; Cyber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jc w:val="right"/>
              <w:rPr/>
            </w:pPr>
            <w:r w:rsidDel="00000000" w:rsidR="00000000" w:rsidRPr="00000000">
              <w:rPr>
                <w:rtl w:val="0"/>
              </w:rPr>
              <w:t xml:space="preserve">5,500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jc w:val="right"/>
              <w:rPr/>
            </w:pPr>
            <w:r w:rsidDel="00000000" w:rsidR="00000000" w:rsidRPr="00000000">
              <w:rPr>
                <w:rtl w:val="0"/>
              </w:rPr>
              <w:t xml:space="preserve">3,500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Social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jc w:val="right"/>
              <w:rPr/>
            </w:pPr>
            <w:r w:rsidDel="00000000" w:rsidR="00000000" w:rsidRPr="00000000">
              <w:rPr>
                <w:rtl w:val="0"/>
              </w:rPr>
              <w:t xml:space="preserve">177,000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Prime Minister and Cabinet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jc w:val="right"/>
              <w:rPr/>
            </w:pPr>
            <w:r w:rsidDel="00000000" w:rsidR="00000000" w:rsidRPr="00000000">
              <w:rPr>
                <w:rtl w:val="0"/>
              </w:rPr>
              <w:t xml:space="preserve">2,000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Youth, Arts, Culture and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jc w:val="right"/>
              <w:rPr/>
            </w:pPr>
            <w:r w:rsidDel="00000000" w:rsidR="00000000" w:rsidRPr="00000000">
              <w:rPr>
                <w:rtl w:val="0"/>
              </w:rPr>
              <w:t xml:space="preserve">3,000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States, Territories and External Territories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jc w:val="right"/>
              <w:rPr/>
            </w:pPr>
            <w:r w:rsidDel="00000000" w:rsidR="00000000" w:rsidRPr="00000000">
              <w:rPr>
                <w:rtl w:val="0"/>
              </w:rPr>
              <w:t xml:space="preserve">81,500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Women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jc w:val="right"/>
              <w:rPr/>
            </w:pPr>
            <w:r w:rsidDel="00000000" w:rsidR="00000000" w:rsidRPr="00000000">
              <w:rPr>
                <w:rtl w:val="0"/>
              </w:rPr>
              <w:t xml:space="preserve">800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Rural and Regional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jc w:val="right"/>
              <w:rPr/>
            </w:pPr>
            <w:r w:rsidDel="00000000" w:rsidR="00000000" w:rsidRPr="00000000">
              <w:rPr>
                <w:rtl w:val="0"/>
              </w:rPr>
              <w:t xml:space="preserve">2,200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Jobs and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jc w:val="right"/>
              <w:rPr/>
            </w:pPr>
            <w:r w:rsidDel="00000000" w:rsidR="00000000" w:rsidRPr="00000000">
              <w:rPr>
                <w:rtl w:val="0"/>
              </w:rPr>
              <w:t xml:space="preserve">2,500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LGBTIQ+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jc w:val="right"/>
              <w:rPr/>
            </w:pPr>
            <w:r w:rsidDel="00000000" w:rsidR="00000000" w:rsidRPr="00000000">
              <w:rPr>
                <w:rtl w:val="0"/>
              </w:rPr>
              <w:t xml:space="preserve">1,500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Veterans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jc w:val="right"/>
              <w:rPr/>
            </w:pPr>
            <w:r w:rsidDel="00000000" w:rsidR="00000000" w:rsidRPr="00000000">
              <w:rPr>
                <w:rtl w:val="0"/>
              </w:rPr>
              <w:t xml:space="preserve">1,500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Debt Interest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jc w:val="right"/>
              <w:rPr/>
            </w:pPr>
            <w:r w:rsidDel="00000000" w:rsidR="00000000" w:rsidRPr="00000000">
              <w:rPr>
                <w:rtl w:val="0"/>
              </w:rPr>
              <w:t xml:space="preserve">17,971</w:t>
            </w:r>
          </w:p>
        </w:tc>
      </w:tr>
      <w:tr>
        <w:trPr>
          <w:trHeight w:val="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Totals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jc w:val="right"/>
              <w:rPr/>
            </w:pPr>
            <w:r w:rsidDel="00000000" w:rsidR="00000000" w:rsidRPr="00000000">
              <w:rPr>
                <w:rFonts w:ascii="Arial" w:cs="Arial" w:eastAsia="Arial" w:hAnsi="Arial"/>
                <w:sz w:val="20"/>
                <w:szCs w:val="20"/>
                <w:rtl w:val="0"/>
              </w:rPr>
              <w:t xml:space="preserve">543,376</w:t>
            </w:r>
            <w:r w:rsidDel="00000000" w:rsidR="00000000" w:rsidRPr="00000000">
              <w:rPr>
                <w:rtl w:val="0"/>
              </w:rPr>
            </w:r>
          </w:p>
        </w:tc>
      </w:tr>
    </w:tbl>
    <w:p w:rsidR="00000000" w:rsidDel="00000000" w:rsidP="00000000" w:rsidRDefault="00000000" w:rsidRPr="00000000" w14:paraId="000000D4">
      <w:pPr>
        <w:pStyle w:val="Heading1"/>
        <w:spacing w:line="276" w:lineRule="auto"/>
        <w:ind w:left="0" w:firstLine="0"/>
        <w:rPr/>
      </w:pPr>
      <w:bookmarkStart w:colFirst="0" w:colLast="0" w:name="_otbbsvvl2lfu" w:id="19"/>
      <w:bookmarkEnd w:id="19"/>
      <w:r w:rsidDel="00000000" w:rsidR="00000000" w:rsidRPr="00000000">
        <w:rPr>
          <w:rtl w:val="0"/>
        </w:rPr>
        <w:t xml:space="preserve">Schedule 2—Services for which money is expected to be received</w:t>
      </w:r>
    </w:p>
    <w:p w:rsidR="00000000" w:rsidDel="00000000" w:rsidP="00000000" w:rsidRDefault="00000000" w:rsidRPr="00000000" w14:paraId="000000D5">
      <w:pPr>
        <w:spacing w:line="276" w:lineRule="auto"/>
        <w:rPr>
          <w:rFonts w:ascii="Arial" w:cs="Arial" w:eastAsia="Arial" w:hAnsi="Arial"/>
        </w:rPr>
      </w:pPr>
      <w:r w:rsidDel="00000000" w:rsidR="00000000" w:rsidRPr="00000000">
        <w:rPr>
          <w:rtl w:val="0"/>
        </w:rPr>
      </w:r>
    </w:p>
    <w:tbl>
      <w:tblPr>
        <w:tblStyle w:val="Table3"/>
        <w:tblW w:w="708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4.5"/>
        <w:gridCol w:w="3544.5"/>
        <w:tblGridChange w:id="0">
          <w:tblGrid>
            <w:gridCol w:w="3544.5"/>
            <w:gridCol w:w="354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jc w:val="right"/>
              <w:rPr/>
            </w:pPr>
            <w:r w:rsidDel="00000000" w:rsidR="00000000" w:rsidRPr="00000000">
              <w:rPr>
                <w:rtl w:val="0"/>
              </w:rPr>
              <w:t xml:space="preserve">Totals (,000,000)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Income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jc w:val="right"/>
              <w:rPr/>
            </w:pPr>
            <w:r w:rsidDel="00000000" w:rsidR="00000000" w:rsidRPr="00000000">
              <w:rPr>
                <w:rtl w:val="0"/>
              </w:rPr>
              <w:t xml:space="preserve">229,270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Fringe Benefits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jc w:val="right"/>
              <w:rPr/>
            </w:pPr>
            <w:r w:rsidDel="00000000" w:rsidR="00000000" w:rsidRPr="00000000">
              <w:rPr>
                <w:rtl w:val="0"/>
              </w:rPr>
              <w:t xml:space="preserve">4,682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Superannuation Funds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jc w:val="right"/>
              <w:rPr/>
            </w:pPr>
            <w:r w:rsidDel="00000000" w:rsidR="00000000" w:rsidRPr="00000000">
              <w:rPr>
                <w:rtl w:val="0"/>
              </w:rPr>
              <w:t xml:space="preserve">9,326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Company Tax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jc w:val="right"/>
              <w:rPr/>
            </w:pPr>
            <w:r w:rsidDel="00000000" w:rsidR="00000000" w:rsidRPr="00000000">
              <w:rPr>
                <w:rtl w:val="0"/>
              </w:rPr>
              <w:t xml:space="preserve">88,783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Petroleum Resource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jc w:val="right"/>
              <w:rPr/>
            </w:pPr>
            <w:r w:rsidDel="00000000" w:rsidR="00000000" w:rsidRPr="00000000">
              <w:rPr>
                <w:rtl w:val="0"/>
              </w:rPr>
              <w:t xml:space="preserve">1,018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Goods and Services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jc w:val="right"/>
              <w:rPr/>
            </w:pPr>
            <w:r w:rsidDel="00000000" w:rsidR="00000000" w:rsidRPr="00000000">
              <w:rPr>
                <w:rtl w:val="0"/>
              </w:rPr>
              <w:t xml:space="preserve">70,450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Wine Equalisation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jc w:val="right"/>
              <w:rPr/>
            </w:pPr>
            <w:r w:rsidDel="00000000" w:rsidR="00000000" w:rsidRPr="00000000">
              <w:rPr>
                <w:rtl w:val="0"/>
              </w:rPr>
              <w:t xml:space="preserve">951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Greenhouse Gas Emissions Reduction Scheme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jc w:val="right"/>
              <w:rPr/>
            </w:pPr>
            <w:r w:rsidDel="00000000" w:rsidR="00000000" w:rsidRPr="00000000">
              <w:rPr>
                <w:rtl w:val="0"/>
              </w:rPr>
              <w:t xml:space="preserve">18,430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Agricultural levies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jc w:val="right"/>
              <w:rPr/>
            </w:pPr>
            <w:r w:rsidDel="00000000" w:rsidR="00000000" w:rsidRPr="00000000">
              <w:rPr>
                <w:rtl w:val="0"/>
              </w:rPr>
              <w:t xml:space="preserve">541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Excise and Custom Duty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jc w:val="right"/>
              <w:rPr/>
            </w:pPr>
            <w:r w:rsidDel="00000000" w:rsidR="00000000" w:rsidRPr="00000000">
              <w:rPr>
                <w:rtl w:val="0"/>
              </w:rPr>
              <w:t xml:space="preserve">41,500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Major Bank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jc w:val="right"/>
              <w:rPr/>
            </w:pPr>
            <w:r w:rsidDel="00000000" w:rsidR="00000000" w:rsidRPr="00000000">
              <w:rPr>
                <w:rtl w:val="0"/>
              </w:rPr>
              <w:t xml:space="preserve">12,951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Other Taxes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jc w:val="right"/>
              <w:rPr/>
            </w:pPr>
            <w:r w:rsidDel="00000000" w:rsidR="00000000" w:rsidRPr="00000000">
              <w:rPr>
                <w:rtl w:val="0"/>
              </w:rPr>
              <w:t xml:space="preserve">6,491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Non-taxation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jc w:val="right"/>
              <w:rPr/>
            </w:pPr>
            <w:r w:rsidDel="00000000" w:rsidR="00000000" w:rsidRPr="00000000">
              <w:rPr>
                <w:rtl w:val="0"/>
              </w:rPr>
              <w:t xml:space="preserve">11,581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Sales of Goods and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jc w:val="right"/>
              <w:rPr/>
            </w:pPr>
            <w:r w:rsidDel="00000000" w:rsidR="00000000" w:rsidRPr="00000000">
              <w:rPr>
                <w:rtl w:val="0"/>
              </w:rPr>
              <w:t xml:space="preserve">8,942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Interest Received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jc w:val="right"/>
              <w:rPr/>
            </w:pPr>
            <w:r w:rsidDel="00000000" w:rsidR="00000000" w:rsidRPr="00000000">
              <w:rPr>
                <w:rtl w:val="0"/>
              </w:rPr>
              <w:t xml:space="preserve">3,790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Debt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jc w:val="right"/>
              <w:rPr/>
            </w:pPr>
            <w:r w:rsidDel="00000000" w:rsidR="00000000" w:rsidRPr="00000000">
              <w:rPr>
                <w:rtl w:val="0"/>
              </w:rPr>
              <w:t xml:space="preserve">7,821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Dividends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jc w:val="right"/>
              <w:rPr/>
            </w:pPr>
            <w:r w:rsidDel="00000000" w:rsidR="00000000" w:rsidRPr="00000000">
              <w:rPr>
                <w:rtl w:val="0"/>
              </w:rPr>
              <w:t xml:space="preserve">4,842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Major Bank Debt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jc w:val="right"/>
              <w:rPr/>
            </w:pPr>
            <w:r w:rsidDel="00000000" w:rsidR="00000000" w:rsidRPr="00000000">
              <w:rPr>
                <w:rtl w:val="0"/>
              </w:rPr>
              <w:t xml:space="preserve">4,650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Luxury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jc w:val="right"/>
              <w:rPr/>
            </w:pPr>
            <w:r w:rsidDel="00000000" w:rsidR="00000000" w:rsidRPr="00000000">
              <w:rPr>
                <w:rtl w:val="0"/>
              </w:rPr>
              <w:t xml:space="preserve">19,820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Totals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ind w:right="0"/>
              <w:jc w:val="right"/>
              <w:rPr/>
            </w:pPr>
            <w:r w:rsidDel="00000000" w:rsidR="00000000" w:rsidRPr="00000000">
              <w:rPr>
                <w:rtl w:val="0"/>
              </w:rPr>
              <w:t xml:space="preserve">545,839</w:t>
            </w:r>
          </w:p>
        </w:tc>
      </w:tr>
    </w:tbl>
    <w:p w:rsidR="00000000" w:rsidDel="00000000" w:rsidP="00000000" w:rsidRDefault="00000000" w:rsidRPr="00000000" w14:paraId="00000100">
      <w:pPr>
        <w:spacing w:line="276" w:lineRule="auto"/>
        <w:rPr/>
      </w:pPr>
      <w:r w:rsidDel="00000000" w:rsidR="00000000" w:rsidRPr="00000000">
        <w:rPr>
          <w:rtl w:val="0"/>
        </w:rPr>
      </w:r>
    </w:p>
    <w:p w:rsidR="00000000" w:rsidDel="00000000" w:rsidP="00000000" w:rsidRDefault="00000000" w:rsidRPr="00000000" w14:paraId="00000101">
      <w:pPr>
        <w:pStyle w:val="Heading1"/>
        <w:spacing w:line="276" w:lineRule="auto"/>
        <w:ind w:left="0" w:firstLine="0"/>
        <w:rPr/>
      </w:pPr>
      <w:bookmarkStart w:colFirst="0" w:colLast="0" w:name="_a8ykq6x1z2h5" w:id="20"/>
      <w:bookmarkEnd w:id="20"/>
      <w:r w:rsidDel="00000000" w:rsidR="00000000" w:rsidRPr="00000000">
        <w:rPr>
          <w:rtl w:val="0"/>
        </w:rPr>
        <w:t xml:space="preserve">Schedule 3 - Summary of updated areas of expenditure</w:t>
      </w:r>
    </w:p>
    <w:p w:rsidR="00000000" w:rsidDel="00000000" w:rsidP="00000000" w:rsidRDefault="00000000" w:rsidRPr="00000000" w14:paraId="00000102">
      <w:pPr>
        <w:spacing w:line="276" w:lineRule="auto"/>
        <w:rPr/>
      </w:pPr>
      <w:r w:rsidDel="00000000" w:rsidR="00000000" w:rsidRPr="00000000">
        <w:rPr>
          <w:rtl w:val="0"/>
        </w:rPr>
      </w:r>
    </w:p>
    <w:p w:rsidR="00000000" w:rsidDel="00000000" w:rsidP="00000000" w:rsidRDefault="00000000" w:rsidRPr="00000000" w14:paraId="00000103">
      <w:pPr>
        <w:spacing w:line="276" w:lineRule="auto"/>
        <w:rPr>
          <w:rFonts w:ascii="Arial" w:cs="Arial" w:eastAsia="Arial" w:hAnsi="Arial"/>
        </w:rPr>
      </w:pPr>
      <w:r w:rsidDel="00000000" w:rsidR="00000000" w:rsidRPr="00000000">
        <w:rPr>
          <w:rtl w:val="0"/>
        </w:rPr>
      </w:r>
    </w:p>
    <w:tbl>
      <w:tblPr>
        <w:tblStyle w:val="Table4"/>
        <w:tblW w:w="71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9.9662162162163"/>
        <w:gridCol w:w="1417.1959459459458"/>
        <w:gridCol w:w="1417.1959459459458"/>
        <w:gridCol w:w="1945.6418918918919"/>
        <w:tblGridChange w:id="0">
          <w:tblGrid>
            <w:gridCol w:w="2329.9662162162163"/>
            <w:gridCol w:w="1417.1959459459458"/>
            <w:gridCol w:w="1417.1959459459458"/>
            <w:gridCol w:w="1945.641891891891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Portfolio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Previous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Current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ind w:right="-120"/>
              <w:rPr/>
            </w:pPr>
            <w:r w:rsidDel="00000000" w:rsidR="00000000" w:rsidRPr="00000000">
              <w:rPr>
                <w:rtl w:val="0"/>
              </w:rPr>
              <w:t xml:space="preserve">Explanation of Spending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Agriculture and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$2,260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Reduction on Capentria Funding to be better allocated to promote other initiatives and secure our rural areas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Youth, Arts, Culture and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ind w:left="0" w:firstLine="0"/>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Arts and cultural heritage $1.4 billion, $0.5B towards Grassroots Facilities Grants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$Funding for Youth organisations through Grants $40 million to establish a Youth Suicide Taskforce additional funding to be allocated based on recommendations from the Taskforce.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Attorney General &amp; Justice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$3,375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3,375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Increased funding to family court and federal circuit court $250 million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States, Territories and External Territories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$73,876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81,500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Inter-governmental transactions to States $65.274 billion, Other programs $8.602 billion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Defence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$28,340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27,000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Abolition of THAAD funding, saving  $3.85B $2B cut, additional funding into current programs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Foreign Affairs &amp; Trade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$4,041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5,750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 Economic Aid $3.360 billion, Pacific Girls Shaping Pacific Development Initiative $275 million, Disaster Relief $375 million, ASIS $480 million, Climate Change and resilience activities in pacific Island Countries $300 million, Regional co-operation and refugee and humanitarian assistance $390 million, Securing our Embassies, High Commissions and Consulates $400 million</w:t>
            </w:r>
          </w:p>
          <w:p w:rsidR="00000000" w:rsidDel="00000000" w:rsidP="00000000" w:rsidRDefault="00000000" w:rsidRPr="00000000" w14:paraId="00000122">
            <w:pPr>
              <w:rPr/>
            </w:pPr>
            <w:r w:rsidDel="00000000" w:rsidR="00000000" w:rsidRPr="00000000">
              <w:rPr>
                <w:rtl w:val="0"/>
              </w:rPr>
              <w:t xml:space="preserve">$300 million Pacific Expo $250 million Say G’Day, $600 million Tourism Promotion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Environment and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$3,500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4,200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Great Barrier reef fund $390 million, Solar, hydro, wind investments $450 million, Nature reserves and parks $410 million, Environmental protection $900 million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Education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$35,936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65,000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For Primary and High Schools $20 billion, University funding $10 billion, Retraining and reskilling program for coal miners $10 billion, Free TAFE and bachelors degrees $20 billion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$75,277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80,000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3,080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Border Protection $1 billion, General Immigration $2 billion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Indigenous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$1,137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indigenous Business Australia $40 million, Indigenous Land Corporation $10 million, Indigenous Legal Affairs $185 million, National Aboriginal community controlled health organisation $350 million, National Aboriginal and Torres Strait Islander flexible aged care program $300 million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Industry, Innovation and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$7,992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t xml:space="preserve">12,000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t xml:space="preserve">The National Australian Institute of Space Aeronautics (NAISA) $8.070 billion, General Research $3 billion, Bureau of Meteorology $330 million, Hobart Science Centre $600 million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Infrastructure &amp; Transport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$31,000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42,000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IP Australia $187 million, competition and productivity enhancing reforms $125 million, Australian Prudential Regulation Authority $177 million, australian securities and investments commission $420 million, Department of Industry, Innovation and Science $450 million, Australian Competition and Consumer Commission's $152 million, Labour and Employment $3.648 billion, Growing Business Investment $400 million,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Social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$171,003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177,000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Increased by $7B to increase Newstart by $100/week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Treasury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$4,007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3,500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Funding for the legislative, executive, financial, fiscal, general affairs and services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Communications and Cyber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$1,512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5,500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Finance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$3,080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3,500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To assist the government in running department and executing policy, programs, etc.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Rural and Regional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2,200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Jobs and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LGBTIQ+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rPr/>
            </w:pPr>
            <w:r w:rsidDel="00000000" w:rsidR="00000000" w:rsidRPr="00000000">
              <w:rPr>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t xml:space="preserve">Veterans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rPr/>
            </w:pPr>
            <w:r w:rsidDel="00000000" w:rsidR="00000000" w:rsidRPr="00000000">
              <w:rPr>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t xml:space="preserve">Women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r>
          </w:p>
        </w:tc>
      </w:tr>
    </w:tbl>
    <w:p w:rsidR="00000000" w:rsidDel="00000000" w:rsidP="00000000" w:rsidRDefault="00000000" w:rsidRPr="00000000" w14:paraId="00000163">
      <w:pPr>
        <w:spacing w:line="276" w:lineRule="auto"/>
        <w:rPr/>
      </w:pPr>
      <w:r w:rsidDel="00000000" w:rsidR="00000000" w:rsidRPr="00000000">
        <w:rPr>
          <w:rtl w:val="0"/>
        </w:rPr>
      </w:r>
    </w:p>
    <w:p w:rsidR="00000000" w:rsidDel="00000000" w:rsidP="00000000" w:rsidRDefault="00000000" w:rsidRPr="00000000" w14:paraId="00000164">
      <w:pPr>
        <w:spacing w:line="276" w:lineRule="auto"/>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39" w:w="11907"/>
      <w:pgMar w:bottom="4252" w:top="1418" w:left="2409" w:right="2409" w:header="720" w:footer="34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righ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80" w:lineRule="auto"/>
      <w:ind w:left="1134"/>
    </w:pPr>
    <w:rPr>
      <w:b w:val="1"/>
      <w:sz w:val="32"/>
      <w:szCs w:val="32"/>
    </w:rPr>
  </w:style>
  <w:style w:type="paragraph" w:styleId="Heading2">
    <w:name w:val="heading 2"/>
    <w:basedOn w:val="Normal"/>
    <w:next w:val="Normal"/>
    <w:pPr>
      <w:keepNext w:val="1"/>
      <w:keepLines w:val="1"/>
      <w:spacing w:before="240" w:lineRule="auto"/>
      <w:ind w:left="1134"/>
    </w:pPr>
    <w:rPr>
      <w:b w:val="1"/>
      <w:sz w:val="28"/>
      <w:szCs w:val="28"/>
    </w:rPr>
  </w:style>
  <w:style w:type="paragraph" w:styleId="Heading3">
    <w:name w:val="heading 3"/>
    <w:basedOn w:val="Normal"/>
    <w:next w:val="Normal"/>
    <w:pPr>
      <w:keepNext w:val="1"/>
      <w:keepLines w:val="1"/>
      <w:spacing w:before="280" w:lineRule="auto"/>
      <w:ind w:left="1134"/>
    </w:pPr>
    <w:rPr>
      <w:b w:val="1"/>
      <w:sz w:val="24"/>
      <w:szCs w:val="24"/>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7.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