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6.614173228344953"/>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2019</w:t>
      </w:r>
    </w:p>
    <w:p w:rsidR="00000000" w:rsidDel="00000000" w:rsidP="00000000" w:rsidRDefault="00000000" w:rsidRPr="00000000" w14:paraId="00000002">
      <w:pPr>
        <w:spacing w:line="240" w:lineRule="auto"/>
        <w:ind w:right="-6.614173228344953"/>
        <w:rPr>
          <w:rFonts w:ascii="Times New Roman" w:cs="Times New Roman" w:eastAsia="Times New Roman" w:hAnsi="Times New Roman"/>
          <w:sz w:val="28"/>
          <w:szCs w:val="28"/>
        </w:rPr>
      </w:pPr>
      <w:bookmarkStart w:colFirst="0" w:colLast="0" w:name="_axotpnqlcr5t" w:id="1"/>
      <w:bookmarkEnd w:id="1"/>
      <w:r w:rsidDel="00000000" w:rsidR="00000000" w:rsidRPr="00000000">
        <w:rPr>
          <w:rtl w:val="0"/>
        </w:rPr>
      </w:r>
    </w:p>
    <w:p w:rsidR="00000000" w:rsidDel="00000000" w:rsidP="00000000" w:rsidRDefault="00000000" w:rsidRPr="00000000" w14:paraId="00000003">
      <w:pPr>
        <w:spacing w:line="240" w:lineRule="auto"/>
        <w:ind w:right="-6.61417322834495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40" w:lineRule="auto"/>
        <w:ind w:right="-6.61417322834495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Parliament of the</w:t>
      </w:r>
    </w:p>
    <w:p w:rsidR="00000000" w:rsidDel="00000000" w:rsidP="00000000" w:rsidRDefault="00000000" w:rsidRPr="00000000" w14:paraId="00000005">
      <w:pPr>
        <w:spacing w:line="240" w:lineRule="auto"/>
        <w:ind w:right="-6.61417322834495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Commonwealth of Australia</w:t>
      </w:r>
    </w:p>
    <w:p w:rsidR="00000000" w:rsidDel="00000000" w:rsidP="00000000" w:rsidRDefault="00000000" w:rsidRPr="00000000" w14:paraId="00000006">
      <w:pPr>
        <w:spacing w:line="240" w:lineRule="auto"/>
        <w:ind w:right="-6.61417322834495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ind w:right="-6.614173228344953"/>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HOUSE OF REPRESENTATIVES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Presented and read a first time </w:t>
      </w:r>
      <w:r w:rsidDel="00000000" w:rsidR="00000000" w:rsidRPr="00000000">
        <w:rPr>
          <w:rtl w:val="0"/>
        </w:rPr>
      </w:r>
    </w:p>
    <w:p w:rsidR="00000000" w:rsidDel="00000000" w:rsidP="00000000" w:rsidRDefault="00000000" w:rsidRPr="00000000" w14:paraId="0000000C">
      <w:pPr>
        <w:spacing w:line="240" w:lineRule="auto"/>
        <w:ind w:right="-6.61417322834495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right="-6.61417322834495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right="-6.61417322834495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ind w:right="-6.61417322834495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right="-6.614173228344953"/>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1">
      <w:pPr>
        <w:spacing w:line="240" w:lineRule="auto"/>
        <w:ind w:right="-6.614173228344953"/>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2">
      <w:pPr>
        <w:spacing w:line="240" w:lineRule="auto"/>
        <w:ind w:right="-6.614173228344953"/>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3">
      <w:pPr>
        <w:spacing w:line="240" w:lineRule="auto"/>
        <w:ind w:right="-6.614173228344953"/>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Microbeads Annihilation Bill 2019</w:t>
      </w:r>
    </w:p>
    <w:p w:rsidR="00000000" w:rsidDel="00000000" w:rsidP="00000000" w:rsidRDefault="00000000" w:rsidRPr="00000000" w14:paraId="00000014">
      <w:pPr>
        <w:spacing w:line="240" w:lineRule="auto"/>
        <w:ind w:right="-6.614173228344953"/>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No. 1212, 2019 </w:t>
      </w:r>
    </w:p>
    <w:p w:rsidR="00000000" w:rsidDel="00000000" w:rsidP="00000000" w:rsidRDefault="00000000" w:rsidRPr="00000000" w14:paraId="00000015">
      <w:pPr>
        <w:spacing w:line="240" w:lineRule="auto"/>
        <w:ind w:right="-6.614173228344953"/>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6">
      <w:pPr>
        <w:spacing w:line="240" w:lineRule="auto"/>
        <w:ind w:right="-6.614173228344953"/>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Written by imnofox MP</w:t>
      </w:r>
    </w:p>
    <w:p w:rsidR="00000000" w:rsidDel="00000000" w:rsidP="00000000" w:rsidRDefault="00000000" w:rsidRPr="00000000" w14:paraId="00000017">
      <w:pPr>
        <w:spacing w:line="240" w:lineRule="auto"/>
        <w:ind w:right="-6.614173228344953"/>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Drafted by Tobycool2001_1</w:t>
      </w:r>
    </w:p>
    <w:p w:rsidR="00000000" w:rsidDel="00000000" w:rsidP="00000000" w:rsidRDefault="00000000" w:rsidRPr="00000000" w14:paraId="00000018">
      <w:pPr>
        <w:spacing w:line="240" w:lineRule="auto"/>
        <w:ind w:right="-6.61417322834495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before="4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 Bill for an Act to prohibit the sale and manufacture of wash-off products containing microbeads, and for related purposes.</w:t>
      </w:r>
    </w:p>
    <w:p w:rsidR="00000000" w:rsidDel="00000000" w:rsidP="00000000" w:rsidRDefault="00000000" w:rsidRPr="00000000" w14:paraId="0000001A">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keepNext w:val="1"/>
        <w:keepLines w:val="1"/>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C">
      <w:pPr>
        <w:keepNext w:val="1"/>
        <w:keepLines w:val="1"/>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D">
      <w:pPr>
        <w:keepNext w:val="1"/>
        <w:keepLines w:val="1"/>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rPr>
        <w:sectPr>
          <w:footerReference r:id="rId6" w:type="default"/>
          <w:footerReference r:id="rId7" w:type="first"/>
          <w:pgSz w:h="16838" w:w="11906"/>
          <w:pgMar w:bottom="3815.9999999999995" w:top="1440" w:left="2160" w:right="2160" w:header="1440" w:footer="3815.9999999999995"/>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Contents</w:t>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1 - Preliminary</w:t>
      </w:r>
    </w:p>
    <w:p w:rsidR="00000000" w:rsidDel="00000000" w:rsidP="00000000" w:rsidRDefault="00000000" w:rsidRPr="00000000" w14:paraId="0000002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18"/>
          <w:szCs w:val="18"/>
          <w:rtl w:val="0"/>
        </w:rPr>
        <w:t xml:space="preserve">1 Short title………………………………………….………………………………..2</w:t>
      </w:r>
    </w:p>
    <w:p w:rsidR="00000000" w:rsidDel="00000000" w:rsidP="00000000" w:rsidRDefault="00000000" w:rsidRPr="00000000" w14:paraId="0000002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 xml:space="preserve">2 Commencement…………………………………..…………..………….................2</w:t>
      </w:r>
    </w:p>
    <w:p w:rsidR="00000000" w:rsidDel="00000000" w:rsidP="00000000" w:rsidRDefault="00000000" w:rsidRPr="00000000" w14:paraId="0000002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 xml:space="preserve">3 Act to Bind the crown……………………………………………………………....3</w:t>
      </w:r>
    </w:p>
    <w:p w:rsidR="00000000" w:rsidDel="00000000" w:rsidP="00000000" w:rsidRDefault="00000000" w:rsidRPr="00000000" w14:paraId="0000002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 xml:space="preserve">4 Definitions………………………………………………………………………….3</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 Provisions</w:t>
      </w:r>
    </w:p>
    <w:p w:rsidR="00000000" w:rsidDel="00000000" w:rsidP="00000000" w:rsidRDefault="00000000" w:rsidRPr="00000000" w14:paraId="00000027">
      <w:pPr>
        <w:spacing w:line="240" w:lineRule="auto"/>
        <w:ind w:left="72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Person must not sell or manufacture prohibited wash-off products...……………...4</w:t>
      </w:r>
    </w:p>
    <w:sdt>
      <w:sdtPr>
        <w:docPartObj>
          <w:docPartGallery w:val="Table of Contents"/>
          <w:docPartUnique w:val="1"/>
        </w:docPartObj>
      </w:sdtPr>
      <w:sdtContent>
        <w:p w:rsidR="00000000" w:rsidDel="00000000" w:rsidP="00000000" w:rsidRDefault="00000000" w:rsidRPr="00000000" w14:paraId="00000028">
          <w:pPr>
            <w:pStyle w:val="Heading2"/>
            <w:rPr/>
          </w:pPr>
          <w:bookmarkStart w:colFirst="0" w:colLast="0" w:name="_m96gndj4r2b3" w:id="2"/>
          <w:bookmarkEnd w:id="2"/>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widowControl w:val="0"/>
        <w:rPr>
          <w:rFonts w:ascii="Times New Roman" w:cs="Times New Roman" w:eastAsia="Times New Roman" w:hAnsi="Times New Roman"/>
        </w:rPr>
        <w:sectPr>
          <w:type w:val="continuous"/>
          <w:pgSz w:h="16838" w:w="11906"/>
          <w:pgMar w:bottom="3815.9999999999995" w:top="1440" w:left="2160" w:right="2160" w:header="1440" w:footer="3815.9999999999995"/>
        </w:sectPr>
      </w:pPr>
      <w:r w:rsidDel="00000000" w:rsidR="00000000" w:rsidRPr="00000000">
        <w:rPr>
          <w:rtl w:val="0"/>
        </w:rPr>
      </w:r>
    </w:p>
    <w:p w:rsidR="00000000" w:rsidDel="00000000" w:rsidP="00000000" w:rsidRDefault="00000000" w:rsidRPr="00000000" w14:paraId="0000002A">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C">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before="40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before="4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 Bill for an Act to prohibit the sale and manufacture of wash-off products containing microbeads, and for related purposes.</w:t>
      </w:r>
    </w:p>
    <w:p w:rsidR="00000000" w:rsidDel="00000000" w:rsidP="00000000" w:rsidRDefault="00000000" w:rsidRPr="00000000" w14:paraId="0000003A">
      <w:pPr>
        <w:spacing w:before="240" w:line="240" w:lineRule="auto"/>
        <w:rPr>
          <w:rFonts w:ascii="Times New Roman" w:cs="Times New Roman" w:eastAsia="Times New Roman" w:hAnsi="Times New Roman"/>
          <w:sz w:val="32"/>
          <w:szCs w:val="32"/>
        </w:rPr>
      </w:pPr>
      <w:bookmarkStart w:colFirst="0" w:colLast="0" w:name="_30j0zll" w:id="3"/>
      <w:bookmarkEnd w:id="3"/>
      <w:r w:rsidDel="00000000" w:rsidR="00000000" w:rsidRPr="00000000">
        <w:rPr>
          <w:rFonts w:ascii="Times New Roman" w:cs="Times New Roman" w:eastAsia="Times New Roman" w:hAnsi="Times New Roman"/>
          <w:sz w:val="32"/>
          <w:szCs w:val="32"/>
          <w:rtl w:val="0"/>
        </w:rPr>
        <w:t xml:space="preserve">The Parliament of Australia enacts:</w:t>
      </w:r>
    </w:p>
    <w:p w:rsidR="00000000" w:rsidDel="00000000" w:rsidP="00000000" w:rsidRDefault="00000000" w:rsidRPr="00000000" w14:paraId="0000003B">
      <w:pPr>
        <w:spacing w:before="240" w:line="240" w:lineRule="auto"/>
        <w:rPr>
          <w:rFonts w:ascii="Times New Roman" w:cs="Times New Roman" w:eastAsia="Times New Roman" w:hAnsi="Times New Roman"/>
          <w:b w:val="1"/>
          <w:sz w:val="32"/>
          <w:szCs w:val="32"/>
        </w:rPr>
      </w:pPr>
      <w:bookmarkStart w:colFirst="0" w:colLast="0" w:name="_6gtgumr9asse" w:id="4"/>
      <w:bookmarkEnd w:id="4"/>
      <w:r w:rsidDel="00000000" w:rsidR="00000000" w:rsidRPr="00000000">
        <w:rPr>
          <w:rFonts w:ascii="Times New Roman" w:cs="Times New Roman" w:eastAsia="Times New Roman" w:hAnsi="Times New Roman"/>
          <w:b w:val="1"/>
          <w:sz w:val="32"/>
          <w:szCs w:val="32"/>
          <w:rtl w:val="0"/>
        </w:rPr>
        <w:t xml:space="preserve">Part 1—Preliminary</w:t>
      </w:r>
    </w:p>
    <w:p w:rsidR="00000000" w:rsidDel="00000000" w:rsidP="00000000" w:rsidRDefault="00000000" w:rsidRPr="00000000" w14:paraId="0000003C">
      <w:pPr>
        <w:keepNext w:val="1"/>
        <w:keepLines w:val="1"/>
        <w:spacing w:before="280" w:line="240" w:lineRule="auto"/>
        <w:ind w:left="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Short title </w:t>
      </w:r>
    </w:p>
    <w:p w:rsidR="00000000" w:rsidDel="00000000" w:rsidP="00000000" w:rsidRDefault="00000000" w:rsidRPr="00000000" w14:paraId="0000003D">
      <w:pPr>
        <w:spacing w:before="180" w:line="240" w:lineRule="auto"/>
        <w:ind w:left="1134"/>
        <w:rPr>
          <w:rFonts w:ascii="Times New Roman" w:cs="Times New Roman" w:eastAsia="Times New Roman" w:hAnsi="Times New Roman"/>
          <w:i w:val="1"/>
        </w:rPr>
      </w:pPr>
      <w:bookmarkStart w:colFirst="0" w:colLast="0" w:name="_1fob9te" w:id="5"/>
      <w:bookmarkEnd w:id="5"/>
      <w:r w:rsidDel="00000000" w:rsidR="00000000" w:rsidRPr="00000000">
        <w:rPr>
          <w:rFonts w:ascii="Times New Roman" w:cs="Times New Roman" w:eastAsia="Times New Roman" w:hAnsi="Times New Roman"/>
          <w:rtl w:val="0"/>
        </w:rPr>
        <w:tab/>
        <w:tab/>
        <w:t xml:space="preserve">This Act may be cited as the </w:t>
      </w:r>
      <w:r w:rsidDel="00000000" w:rsidR="00000000" w:rsidRPr="00000000">
        <w:rPr>
          <w:rFonts w:ascii="Times New Roman" w:cs="Times New Roman" w:eastAsia="Times New Roman" w:hAnsi="Times New Roman"/>
          <w:i w:val="1"/>
          <w:rtl w:val="0"/>
        </w:rPr>
        <w:t xml:space="preserve">Microbeads Annihilation Act 2019</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3E">
      <w:pPr>
        <w:keepNext w:val="1"/>
        <w:keepLines w:val="1"/>
        <w:spacing w:before="280" w:line="240" w:lineRule="auto"/>
        <w:ind w:left="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Commencement</w:t>
      </w:r>
    </w:p>
    <w:p w:rsidR="00000000" w:rsidDel="00000000" w:rsidP="00000000" w:rsidRDefault="00000000" w:rsidRPr="00000000" w14:paraId="0000003F">
      <w:pPr>
        <w:numPr>
          <w:ilvl w:val="0"/>
          <w:numId w:val="2"/>
        </w:numPr>
        <w:spacing w:before="18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40">
      <w:pPr>
        <w:spacing w:before="6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7110.999999999999" w:type="dxa"/>
        <w:jc w:val="left"/>
        <w:tblInd w:w="107.0" w:type="pct"/>
        <w:tblLayout w:type="fixed"/>
        <w:tblLook w:val="0000"/>
      </w:tblPr>
      <w:tblGrid>
        <w:gridCol w:w="1701"/>
        <w:gridCol w:w="3828"/>
        <w:gridCol w:w="1582"/>
        <w:tblGridChange w:id="0">
          <w:tblGrid>
            <w:gridCol w:w="1701"/>
            <w:gridCol w:w="3828"/>
            <w:gridCol w:w="1582"/>
          </w:tblGrid>
        </w:tblGridChange>
      </w:tblGrid>
      <w:tr>
        <w:tc>
          <w:tcPr>
            <w:gridSpan w:val="3"/>
            <w:tcBorders>
              <w:top w:color="000000" w:space="0" w:sz="12" w:val="single"/>
            </w:tcBorders>
            <w:vAlign w:val="top"/>
          </w:tcPr>
          <w:p w:rsidR="00000000" w:rsidDel="00000000" w:rsidP="00000000" w:rsidRDefault="00000000" w:rsidRPr="00000000" w14:paraId="00000041">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Commencement information</w:t>
            </w:r>
            <w:r w:rsidDel="00000000" w:rsidR="00000000" w:rsidRPr="00000000">
              <w:rPr>
                <w:rtl w:val="0"/>
              </w:rPr>
            </w:r>
          </w:p>
        </w:tc>
      </w:tr>
      <w:tr>
        <w:tc>
          <w:tcPr>
            <w:tcBorders>
              <w:top w:color="000000" w:space="0" w:sz="6" w:val="single"/>
              <w:bottom w:color="000000" w:space="0" w:sz="4" w:val="single"/>
            </w:tcBorders>
            <w:vAlign w:val="top"/>
          </w:tcPr>
          <w:p w:rsidR="00000000" w:rsidDel="00000000" w:rsidP="00000000" w:rsidRDefault="00000000" w:rsidRPr="00000000" w14:paraId="00000044">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Column 1</w:t>
            </w: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45">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Column 2</w:t>
            </w: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46">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Column 3</w:t>
            </w:r>
            <w:r w:rsidDel="00000000" w:rsidR="00000000" w:rsidRPr="00000000">
              <w:rPr>
                <w:rtl w:val="0"/>
              </w:rPr>
            </w:r>
          </w:p>
        </w:tc>
      </w:tr>
      <w:tr>
        <w:tc>
          <w:tcPr>
            <w:tcBorders>
              <w:top w:color="000000" w:space="0" w:sz="4" w:val="single"/>
              <w:bottom w:color="000000" w:space="0" w:sz="12" w:val="single"/>
            </w:tcBorders>
            <w:vAlign w:val="top"/>
          </w:tcPr>
          <w:p w:rsidR="00000000" w:rsidDel="00000000" w:rsidP="00000000" w:rsidRDefault="00000000" w:rsidRPr="00000000" w14:paraId="00000047">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Provision(s)</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048">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Commencement</w:t>
            </w:r>
            <w:r w:rsidDel="00000000" w:rsidR="00000000" w:rsidRPr="00000000">
              <w:rPr>
                <w:rtl w:val="0"/>
              </w:rPr>
            </w:r>
          </w:p>
        </w:tc>
        <w:tc>
          <w:tcPr>
            <w:tcBorders>
              <w:top w:color="000000" w:space="0" w:sz="4" w:val="single"/>
              <w:bottom w:color="000000" w:space="0" w:sz="12" w:val="single"/>
            </w:tcBorders>
            <w:vAlign w:val="top"/>
          </w:tcPr>
          <w:p w:rsidR="00000000" w:rsidDel="00000000" w:rsidP="00000000" w:rsidRDefault="00000000" w:rsidRPr="00000000" w14:paraId="00000049">
            <w:pPr>
              <w:keepNext w:val="1"/>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Date/Details</w:t>
            </w:r>
            <w:r w:rsidDel="00000000" w:rsidR="00000000" w:rsidRPr="00000000">
              <w:rPr>
                <w:rtl w:val="0"/>
              </w:rPr>
            </w:r>
          </w:p>
        </w:tc>
      </w:tr>
      <w:tr>
        <w:tc>
          <w:tcPr>
            <w:tcBorders>
              <w:top w:color="000000" w:space="0" w:sz="12" w:val="single"/>
              <w:bottom w:color="000000" w:space="0" w:sz="4" w:val="single"/>
            </w:tcBorders>
            <w:vAlign w:val="top"/>
          </w:tcPr>
          <w:p w:rsidR="00000000" w:rsidDel="00000000" w:rsidP="00000000" w:rsidRDefault="00000000" w:rsidRPr="00000000" w14:paraId="0000004A">
            <w:pPr>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The whole of this Act</w:t>
            </w:r>
          </w:p>
        </w:tc>
        <w:tc>
          <w:tcPr>
            <w:tcBorders>
              <w:top w:color="000000" w:space="0" w:sz="12" w:val="single"/>
              <w:bottom w:color="000000" w:space="0" w:sz="4" w:val="single"/>
            </w:tcBorders>
            <w:vAlign w:val="top"/>
          </w:tcPr>
          <w:p w:rsidR="00000000" w:rsidDel="00000000" w:rsidP="00000000" w:rsidRDefault="00000000" w:rsidRPr="00000000" w14:paraId="0000004B">
            <w:pPr>
              <w:spacing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day the Act receives Royal Assent</w:t>
            </w:r>
          </w:p>
        </w:tc>
        <w:tc>
          <w:tcPr>
            <w:tcBorders>
              <w:top w:color="000000" w:space="0" w:sz="12" w:val="single"/>
              <w:bottom w:color="000000" w:space="0" w:sz="4" w:val="single"/>
            </w:tcBorders>
            <w:vAlign w:val="top"/>
          </w:tcPr>
          <w:p w:rsidR="00000000" w:rsidDel="00000000" w:rsidP="00000000" w:rsidRDefault="00000000" w:rsidRPr="00000000" w14:paraId="0000004C">
            <w:pPr>
              <w:spacing w:before="6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D">
      <w:pPr>
        <w:spacing w:before="122" w:line="240" w:lineRule="auto"/>
        <w:ind w:left="2340" w:hanging="90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 </w:t>
        <w:tab/>
        <w:t xml:space="preserve">This table relates only to the provisions of this Act as originally enacted. It will not be amended to deal with any later amendments of this Act.</w:t>
      </w:r>
    </w:p>
    <w:p w:rsidR="00000000" w:rsidDel="00000000" w:rsidP="00000000" w:rsidRDefault="00000000" w:rsidRPr="00000000" w14:paraId="0000004E">
      <w:pPr>
        <w:spacing w:before="180" w:line="240" w:lineRule="auto"/>
        <w:ind w:left="1440" w:hanging="360"/>
        <w:rPr>
          <w:rFonts w:ascii="Times New Roman" w:cs="Times New Roman" w:eastAsia="Times New Roman" w:hAnsi="Times New Roman"/>
          <w:b w:val="1"/>
          <w:sz w:val="24"/>
          <w:szCs w:val="24"/>
        </w:rPr>
      </w:pPr>
      <w:bookmarkStart w:colFirst="0" w:colLast="0" w:name="_3znysh7" w:id="6"/>
      <w:bookmarkEnd w:id="6"/>
      <w:r w:rsidDel="00000000" w:rsidR="00000000" w:rsidRPr="00000000">
        <w:rPr>
          <w:rFonts w:ascii="Times New Roman" w:cs="Times New Roman" w:eastAsia="Times New Roman" w:hAnsi="Times New Roman"/>
          <w:rtl w:val="0"/>
        </w:rPr>
        <w:t xml:space="preserve">(2)</w:t>
        <w:tab/>
        <w:t xml:space="preserve">Any information i</w:t>
      </w:r>
      <w:r w:rsidDel="00000000" w:rsidR="00000000" w:rsidRPr="00000000">
        <w:rPr>
          <w:rFonts w:ascii="Times New Roman" w:cs="Times New Roman" w:eastAsia="Times New Roman" w:hAnsi="Times New Roman"/>
          <w:rtl w:val="0"/>
        </w:rPr>
        <w:t xml:space="preserve">n column 3 of the table is not part of this Act. Information may be inserted in this column, or information in it may be edited, in any published version of this Act.</w:t>
      </w:r>
      <w:r w:rsidDel="00000000" w:rsidR="00000000" w:rsidRPr="00000000">
        <w:rPr>
          <w:rtl w:val="0"/>
        </w:rPr>
      </w:r>
    </w:p>
    <w:p w:rsidR="00000000" w:rsidDel="00000000" w:rsidP="00000000" w:rsidRDefault="00000000" w:rsidRPr="00000000" w14:paraId="0000004F">
      <w:pPr>
        <w:keepNext w:val="1"/>
        <w:keepLines w:val="1"/>
        <w:spacing w:before="280" w:line="240" w:lineRule="auto"/>
        <w:ind w:left="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Crown to be bound</w:t>
      </w:r>
    </w:p>
    <w:p w:rsidR="00000000" w:rsidDel="00000000" w:rsidP="00000000" w:rsidRDefault="00000000" w:rsidRPr="00000000" w14:paraId="00000050">
      <w:pPr>
        <w:spacing w:before="180" w:line="240" w:lineRule="auto"/>
        <w:ind w:left="1440" w:hanging="1140"/>
        <w:rPr>
          <w:rFonts w:ascii="Times New Roman" w:cs="Times New Roman" w:eastAsia="Times New Roman" w:hAnsi="Times New Roman"/>
        </w:rPr>
      </w:pPr>
      <w:bookmarkStart w:colFirst="0" w:colLast="0" w:name="_tyjcwt" w:id="7"/>
      <w:bookmarkEnd w:id="7"/>
      <w:r w:rsidDel="00000000" w:rsidR="00000000" w:rsidRPr="00000000">
        <w:rPr>
          <w:rFonts w:ascii="Times New Roman" w:cs="Times New Roman" w:eastAsia="Times New Roman" w:hAnsi="Times New Roman"/>
          <w:rtl w:val="0"/>
        </w:rPr>
        <w:tab/>
        <w:t xml:space="preserve">This Act binds the Crown in all its capacities.</w:t>
      </w:r>
    </w:p>
    <w:p w:rsidR="00000000" w:rsidDel="00000000" w:rsidP="00000000" w:rsidRDefault="00000000" w:rsidRPr="00000000" w14:paraId="00000051">
      <w:pPr>
        <w:keepNext w:val="1"/>
        <w:keepLines w:val="1"/>
        <w:spacing w:before="280" w:line="240" w:lineRule="auto"/>
        <w:ind w:left="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Definitions</w:t>
      </w:r>
    </w:p>
    <w:p w:rsidR="00000000" w:rsidDel="00000000" w:rsidP="00000000" w:rsidRDefault="00000000" w:rsidRPr="00000000" w14:paraId="00000052">
      <w:pPr>
        <w:spacing w:before="180" w:line="240" w:lineRule="auto"/>
        <w:ind w:left="198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Act:</w:t>
      </w:r>
    </w:p>
    <w:p w:rsidR="00000000" w:rsidDel="00000000" w:rsidP="00000000" w:rsidRDefault="00000000" w:rsidRPr="00000000" w14:paraId="00000053">
      <w:pPr>
        <w:spacing w:before="18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microbead </w:t>
      </w:r>
      <w:r w:rsidDel="00000000" w:rsidR="00000000" w:rsidRPr="00000000">
        <w:rPr>
          <w:rFonts w:ascii="Times New Roman" w:cs="Times New Roman" w:eastAsia="Times New Roman" w:hAnsi="Times New Roman"/>
          <w:rtl w:val="0"/>
        </w:rPr>
        <w:t xml:space="preserve">means a water-insoluble plastic particle that is less than 5 mm at its widest point</w:t>
      </w:r>
    </w:p>
    <w:p w:rsidR="00000000" w:rsidDel="00000000" w:rsidP="00000000" w:rsidRDefault="00000000" w:rsidRPr="00000000" w14:paraId="00000054">
      <w:pPr>
        <w:spacing w:before="18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prohibited wash-off product</w:t>
      </w:r>
      <w:r w:rsidDel="00000000" w:rsidR="00000000" w:rsidRPr="00000000">
        <w:rPr>
          <w:rFonts w:ascii="Times New Roman" w:cs="Times New Roman" w:eastAsia="Times New Roman" w:hAnsi="Times New Roman"/>
          <w:rtl w:val="0"/>
        </w:rPr>
        <w:t xml:space="preserve"> means a wash-off product that contains microbeads used for the purpose of:</w:t>
      </w:r>
    </w:p>
    <w:p w:rsidR="00000000" w:rsidDel="00000000" w:rsidP="00000000" w:rsidRDefault="00000000" w:rsidRPr="00000000" w14:paraId="00000055">
      <w:pPr>
        <w:numPr>
          <w:ilvl w:val="1"/>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exfoliating a person’s body;</w:t>
      </w:r>
    </w:p>
    <w:p w:rsidR="00000000" w:rsidDel="00000000" w:rsidP="00000000" w:rsidRDefault="00000000" w:rsidRPr="00000000" w14:paraId="00000056">
      <w:pPr>
        <w:numPr>
          <w:ilvl w:val="1"/>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cleaning of a person’s body;</w:t>
      </w:r>
    </w:p>
    <w:p w:rsidR="00000000" w:rsidDel="00000000" w:rsidP="00000000" w:rsidRDefault="00000000" w:rsidRPr="00000000" w14:paraId="00000057">
      <w:pPr>
        <w:numPr>
          <w:ilvl w:val="1"/>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abrasive cleaning of any area, surface, or thing; or</w:t>
      </w:r>
    </w:p>
    <w:p w:rsidR="00000000" w:rsidDel="00000000" w:rsidP="00000000" w:rsidRDefault="00000000" w:rsidRPr="00000000" w14:paraId="00000058">
      <w:pPr>
        <w:numPr>
          <w:ilvl w:val="1"/>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enhancing of the visual appearance of the product; </w:t>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but does not include a medical device or medication </w:t>
      </w:r>
    </w:p>
    <w:p w:rsidR="00000000" w:rsidDel="00000000" w:rsidP="00000000" w:rsidRDefault="00000000" w:rsidRPr="00000000" w14:paraId="0000005A">
      <w:pPr>
        <w:spacing w:before="18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wash-off product </w:t>
      </w:r>
      <w:r w:rsidDel="00000000" w:rsidR="00000000" w:rsidRPr="00000000">
        <w:rPr>
          <w:rFonts w:ascii="Times New Roman" w:cs="Times New Roman" w:eastAsia="Times New Roman" w:hAnsi="Times New Roman"/>
          <w:rtl w:val="0"/>
        </w:rPr>
        <w:t xml:space="preserve">means a product that is intended to be rinsed off during or after use.</w:t>
      </w:r>
      <w:r w:rsidDel="00000000" w:rsidR="00000000" w:rsidRPr="00000000">
        <w:rPr>
          <w:rtl w:val="0"/>
        </w:rPr>
      </w:r>
    </w:p>
    <w:p w:rsidR="00000000" w:rsidDel="00000000" w:rsidP="00000000" w:rsidRDefault="00000000" w:rsidRPr="00000000" w14:paraId="0000005B">
      <w:pPr>
        <w:spacing w:before="240" w:line="240" w:lineRule="auto"/>
        <w:rPr>
          <w:rFonts w:ascii="Times New Roman" w:cs="Times New Roman" w:eastAsia="Times New Roman" w:hAnsi="Times New Roman"/>
          <w:b w:val="1"/>
          <w:sz w:val="32"/>
          <w:szCs w:val="32"/>
        </w:rPr>
      </w:pPr>
      <w:bookmarkStart w:colFirst="0" w:colLast="0" w:name="_6gtgumr9asse" w:id="4"/>
      <w:bookmarkEnd w:id="4"/>
      <w:r w:rsidDel="00000000" w:rsidR="00000000" w:rsidRPr="00000000">
        <w:br w:type="page"/>
      </w:r>
      <w:r w:rsidDel="00000000" w:rsidR="00000000" w:rsidRPr="00000000">
        <w:rPr>
          <w:rtl w:val="0"/>
        </w:rPr>
      </w:r>
    </w:p>
    <w:p w:rsidR="00000000" w:rsidDel="00000000" w:rsidP="00000000" w:rsidRDefault="00000000" w:rsidRPr="00000000" w14:paraId="0000005C">
      <w:pPr>
        <w:spacing w:before="240" w:line="240" w:lineRule="auto"/>
        <w:rPr>
          <w:rFonts w:ascii="Times New Roman" w:cs="Times New Roman" w:eastAsia="Times New Roman" w:hAnsi="Times New Roman"/>
          <w:b w:val="1"/>
          <w:sz w:val="24"/>
          <w:szCs w:val="24"/>
        </w:rPr>
      </w:pPr>
      <w:bookmarkStart w:colFirst="0" w:colLast="0" w:name="_t9lsn4rf9ac4" w:id="8"/>
      <w:bookmarkEnd w:id="8"/>
      <w:r w:rsidDel="00000000" w:rsidR="00000000" w:rsidRPr="00000000">
        <w:rPr>
          <w:rFonts w:ascii="Times New Roman" w:cs="Times New Roman" w:eastAsia="Times New Roman" w:hAnsi="Times New Roman"/>
          <w:b w:val="1"/>
          <w:sz w:val="32"/>
          <w:szCs w:val="32"/>
          <w:rtl w:val="0"/>
        </w:rPr>
        <w:t xml:space="preserve">Part 2—Provisions</w:t>
      </w:r>
      <w:r w:rsidDel="00000000" w:rsidR="00000000" w:rsidRPr="00000000">
        <w:rPr>
          <w:rtl w:val="0"/>
        </w:rPr>
      </w:r>
    </w:p>
    <w:p w:rsidR="00000000" w:rsidDel="00000000" w:rsidP="00000000" w:rsidRDefault="00000000" w:rsidRPr="00000000" w14:paraId="0000005D">
      <w:pPr>
        <w:keepNext w:val="1"/>
        <w:keepLines w:val="1"/>
        <w:spacing w:before="280" w:line="240" w:lineRule="auto"/>
        <w:ind w:left="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Person must not sell or manufacture prohibited wash-off products</w:t>
      </w:r>
    </w:p>
    <w:p w:rsidR="00000000" w:rsidDel="00000000" w:rsidP="00000000" w:rsidRDefault="00000000" w:rsidRPr="00000000" w14:paraId="0000005E">
      <w:pPr>
        <w:keepNext w:val="1"/>
        <w:keepLines w:val="1"/>
        <w:spacing w:before="280" w:line="240" w:lineRule="auto"/>
        <w:ind w:left="1440" w:hanging="11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A person must not sell or manufacture a prohibited wash-off product.</w:t>
      </w:r>
    </w:p>
    <w:p w:rsidR="00000000" w:rsidDel="00000000" w:rsidP="00000000" w:rsidRDefault="00000000" w:rsidRPr="00000000" w14:paraId="0000005F">
      <w:pPr>
        <w:keepNext w:val="1"/>
        <w:keepLines w:val="1"/>
        <w:spacing w:before="280" w:line="240" w:lineRule="auto"/>
        <w:ind w:left="1440" w:hanging="1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Penalty: 6 penalty units</w:t>
      </w:r>
    </w:p>
    <w:p w:rsidR="00000000" w:rsidDel="00000000" w:rsidP="00000000" w:rsidRDefault="00000000" w:rsidRPr="00000000" w14:paraId="00000060">
      <w:pPr>
        <w:keepNext w:val="1"/>
        <w:keepLines w:val="1"/>
        <w:spacing w:before="28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1"/>
        <w:keepLines w:val="1"/>
        <w:spacing w:before="28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1"/>
        <w:keepLines w:val="1"/>
        <w:spacing w:before="2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______________________________END_______________________________</w:t>
      </w:r>
    </w:p>
    <w:p w:rsidR="00000000" w:rsidDel="00000000" w:rsidP="00000000" w:rsidRDefault="00000000" w:rsidRPr="00000000" w14:paraId="0000006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Explanatory Memorandum</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bill is to prohibit the use of microbeads in wash-off cosmetic or personal care products.</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Human Rights Impact</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has no human rights impact.</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Second Reading Speech</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Speaker,</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Microbeads are an insidious but classic form of pollution: the convenience or the luxury of these microplastics in various products we enjoy may not be insignificant, but it’s perhaps one of the more obvious ways harmful microplastics enter our waterways and harm our ocean life and by extension human food chains.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It is time to ban the sale and manufacture of these products in Australia, and stop undue and unnecessary harm to our natural and supposedly pristine environment.</w:t>
      </w:r>
      <w:r w:rsidDel="00000000" w:rsidR="00000000" w:rsidRPr="00000000">
        <w:rPr>
          <w:rtl w:val="0"/>
        </w:rPr>
      </w:r>
    </w:p>
    <w:sectPr>
      <w:type w:val="continuous"/>
      <w:pgSz w:h="16838" w:w="11906"/>
      <w:pgMar w:bottom="3815.9999999999995" w:top="1440" w:left="2160" w:right="2160" w:header="1440" w:footer="3815.99999999999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1"/>
        <w:sz w:val="18"/>
        <w:szCs w:val="18"/>
        <w:rtl w:val="0"/>
      </w:rPr>
      <w:tab/>
      <w:tab/>
      <w:tab/>
      <w:t xml:space="preserve">Microbeads Annihilation Act 2019</w:t>
      <w:tab/>
      <w:tab/>
      <w:tab/>
      <w:t xml:space="preserve">No. 1212, 2019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