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</w:t>
      </w:r>
    </w:p>
    <w:p w:rsidR="00000000" w:rsidDel="00000000" w:rsidP="00000000" w:rsidRDefault="00000000" w:rsidRPr="00000000" w14:paraId="00000002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xotpnqlcr5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Parliament of the</w:t>
      </w:r>
    </w:p>
    <w:p w:rsidR="00000000" w:rsidDel="00000000" w:rsidP="00000000" w:rsidRDefault="00000000" w:rsidRPr="00000000" w14:paraId="00000005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Commonwealth of Australia</w:t>
      </w:r>
    </w:p>
    <w:p w:rsidR="00000000" w:rsidDel="00000000" w:rsidP="00000000" w:rsidRDefault="00000000" w:rsidRPr="00000000" w14:paraId="00000006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HOUSE OF REPRESENTATIVES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Presented and read a first time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6.614173228344953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6.614173228344953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Aged Care Amendment (Staffing Ratio Disclosure) Bill 2019</w:t>
      </w:r>
    </w:p>
    <w:p w:rsidR="00000000" w:rsidDel="00000000" w:rsidP="00000000" w:rsidRDefault="00000000" w:rsidRPr="00000000" w14:paraId="00000014">
      <w:pPr>
        <w:spacing w:line="240" w:lineRule="auto"/>
        <w:ind w:right="-6.614173228344953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No.    , 2019</w:t>
      </w:r>
    </w:p>
    <w:p w:rsidR="00000000" w:rsidDel="00000000" w:rsidP="00000000" w:rsidRDefault="00000000" w:rsidRPr="00000000" w14:paraId="00000015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6.614173228344953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Mad_Bear_O_Melbourne MP</w:t>
      </w:r>
    </w:p>
    <w:p w:rsidR="00000000" w:rsidDel="00000000" w:rsidP="00000000" w:rsidRDefault="00000000" w:rsidRPr="00000000" w14:paraId="00000017">
      <w:pPr>
        <w:spacing w:line="240" w:lineRule="auto"/>
        <w:ind w:right="-6.614173228344953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6.614173228344953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6.614173228344953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 Bill for an Act to amend the Aged Care Act 1997 , and for related purposes.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Times New Roman" w:cs="Times New Roman" w:eastAsia="Times New Roman" w:hAnsi="Times New Roman"/>
        </w:rPr>
        <w:sectPr>
          <w:footerReference r:id="rId6" w:type="default"/>
          <w:footerReference r:id="rId7" w:type="first"/>
          <w:pgSz w:h="16838" w:w="11906"/>
          <w:pgMar w:bottom="3815.9999999999995" w:top="1440" w:left="2160" w:right="2160" w:header="1440" w:footer="3815.9999999999995"/>
          <w:pgNumType w:start="0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Contents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1 - Preliminary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 Short title………………………………………….…………………………….....2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 xml:space="preserve">2 Commencement…………………………………..…………..…………................2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 xml:space="preserve">3 Schedules………………………………………………………………………......3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 xml:space="preserve">4 Commonwealth to be bound..………………………………………………….......3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Schedule 1 - Amendments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pStyle w:val="Heading2"/>
            <w:rPr/>
          </w:pPr>
          <w:bookmarkStart w:colFirst="0" w:colLast="0" w:name="_m96gndj4r2b3" w:id="2"/>
          <w:bookmarkEnd w:id="2"/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8">
      <w:pPr>
        <w:widowControl w:val="0"/>
        <w:rPr>
          <w:rFonts w:ascii="Times New Roman" w:cs="Times New Roman" w:eastAsia="Times New Roman" w:hAnsi="Times New Roman"/>
        </w:rPr>
        <w:sectPr>
          <w:type w:val="continuous"/>
          <w:pgSz w:h="16838" w:w="11906"/>
          <w:pgMar w:bottom="3815.9999999999995" w:top="1440" w:left="2160" w:right="2160" w:header="1440" w:footer="3815.999999999999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40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4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 Bill for an Act to amend the Aged Care Act 1997 , and for related purposes.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40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The Parliament of Australia enacts:</w:t>
      </w:r>
    </w:p>
    <w:p w:rsidR="00000000" w:rsidDel="00000000" w:rsidP="00000000" w:rsidRDefault="00000000" w:rsidRPr="00000000" w14:paraId="0000003B">
      <w:pPr>
        <w:spacing w:before="24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6gtgumr9asse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Part 1—Preliminary</w:t>
      </w:r>
    </w:p>
    <w:p w:rsidR="00000000" w:rsidDel="00000000" w:rsidP="00000000" w:rsidRDefault="00000000" w:rsidRPr="00000000" w14:paraId="0000003C">
      <w:pPr>
        <w:keepNext w:val="1"/>
        <w:keepLines w:val="1"/>
        <w:spacing w:before="280" w:line="240" w:lineRule="auto"/>
        <w:ind w:left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 Short title </w:t>
      </w:r>
    </w:p>
    <w:p w:rsidR="00000000" w:rsidDel="00000000" w:rsidP="00000000" w:rsidRDefault="00000000" w:rsidRPr="00000000" w14:paraId="0000003D">
      <w:pPr>
        <w:spacing w:before="180" w:line="240" w:lineRule="auto"/>
        <w:ind w:left="1134"/>
        <w:rPr>
          <w:rFonts w:ascii="Times New Roman" w:cs="Times New Roman" w:eastAsia="Times New Roman" w:hAnsi="Times New Roman"/>
          <w:i w:val="1"/>
        </w:rPr>
      </w:pPr>
      <w:bookmarkStart w:colFirst="0" w:colLast="0" w:name="_1fob9te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This Act may be cited as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Aged Care Amendment (Staffing Ratio  Disclosure) Act 2019</w:t>
      </w:r>
    </w:p>
    <w:p w:rsidR="00000000" w:rsidDel="00000000" w:rsidP="00000000" w:rsidRDefault="00000000" w:rsidRPr="00000000" w14:paraId="0000003E">
      <w:pPr>
        <w:keepNext w:val="1"/>
        <w:keepLines w:val="1"/>
        <w:spacing w:before="280" w:line="240" w:lineRule="auto"/>
        <w:ind w:left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 Commencement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before="18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provision of this Act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40">
      <w:pPr>
        <w:spacing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10.999999999999" w:type="dxa"/>
        <w:jc w:val="left"/>
        <w:tblInd w:w="107.0" w:type="pct"/>
        <w:tblLayout w:type="fixed"/>
        <w:tblLook w:val="0000"/>
      </w:tblPr>
      <w:tblGrid>
        <w:gridCol w:w="1701"/>
        <w:gridCol w:w="3828"/>
        <w:gridCol w:w="1582"/>
        <w:tblGridChange w:id="0">
          <w:tblGrid>
            <w:gridCol w:w="1701"/>
            <w:gridCol w:w="3828"/>
            <w:gridCol w:w="1582"/>
          </w:tblGrid>
        </w:tblGridChange>
      </w:tblGrid>
      <w:tr>
        <w:tc>
          <w:tcPr>
            <w:gridSpan w:val="3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Commencement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Provision(s)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Commencement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Date/Details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 The whole of this Act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day this Act receives the Royal Assent.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before="122" w:line="240" w:lineRule="auto"/>
        <w:ind w:left="2340" w:hanging="90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Note: </w:t>
        <w:tab/>
        <w:t xml:space="preserve">This table relates only to the provisions of this Act as originally enacted. It will not be amended to deal with any later amendments of this Act.</w:t>
      </w:r>
    </w:p>
    <w:p w:rsidR="00000000" w:rsidDel="00000000" w:rsidP="00000000" w:rsidRDefault="00000000" w:rsidRPr="00000000" w14:paraId="0000004E">
      <w:pPr>
        <w:spacing w:before="18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</w:t>
        <w:tab/>
        <w:t xml:space="preserve">Any information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 column 3 of the table is not part of this Act. Information may be inserted in this column, or information in it may be edited, in any published version of this 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8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wfiz279nqouc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 Schedules </w:t>
      </w:r>
    </w:p>
    <w:p w:rsidR="00000000" w:rsidDel="00000000" w:rsidP="00000000" w:rsidRDefault="00000000" w:rsidRPr="00000000" w14:paraId="00000050">
      <w:pPr>
        <w:spacing w:before="180" w:line="240" w:lineRule="auto"/>
        <w:ind w:left="1440" w:hanging="1140"/>
        <w:rPr>
          <w:rFonts w:ascii="Times New Roman" w:cs="Times New Roman" w:eastAsia="Times New Roman" w:hAnsi="Times New Roman"/>
        </w:rPr>
      </w:pPr>
      <w:bookmarkStart w:colFirst="0" w:colLast="0" w:name="_48whfvylo3w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Legislation that is specified in a Schedule to this Act is amended or repealed as set out in the applicable items in the Schedule concerned, and any other item in a Schedule to this Act has effect according to its terms.</w:t>
      </w:r>
    </w:p>
    <w:p w:rsidR="00000000" w:rsidDel="00000000" w:rsidP="00000000" w:rsidRDefault="00000000" w:rsidRPr="00000000" w14:paraId="00000051">
      <w:pPr>
        <w:keepNext w:val="1"/>
        <w:keepLines w:val="1"/>
        <w:spacing w:before="280" w:line="240" w:lineRule="auto"/>
        <w:ind w:left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 Commonwealth to be bound</w:t>
      </w:r>
    </w:p>
    <w:p w:rsidR="00000000" w:rsidDel="00000000" w:rsidP="00000000" w:rsidRDefault="00000000" w:rsidRPr="00000000" w14:paraId="00000052">
      <w:pPr>
        <w:spacing w:before="180" w:line="240" w:lineRule="auto"/>
        <w:ind w:left="1440" w:hanging="1140"/>
        <w:rPr>
          <w:rFonts w:ascii="Times New Roman" w:cs="Times New Roman" w:eastAsia="Times New Roman" w:hAnsi="Times New Roman"/>
        </w:rPr>
      </w:pPr>
      <w:bookmarkStart w:colFirst="0" w:colLast="0" w:name="_tyjcwt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This Act binds the Crown and the Commonwealth in all its capacities.</w:t>
      </w:r>
    </w:p>
    <w:p w:rsidR="00000000" w:rsidDel="00000000" w:rsidP="00000000" w:rsidRDefault="00000000" w:rsidRPr="00000000" w14:paraId="00000053">
      <w:pPr>
        <w:spacing w:after="200" w:line="240" w:lineRule="auto"/>
        <w:ind w:left="1260" w:hanging="12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40" w:lineRule="auto"/>
        <w:ind w:left="1260" w:hanging="126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Schedule 1—Amendments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Aged Care Act 1997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 After section 9-3B</w:t>
      </w:r>
    </w:p>
    <w:p w:rsidR="00000000" w:rsidDel="00000000" w:rsidP="00000000" w:rsidRDefault="00000000" w:rsidRPr="00000000" w14:paraId="00000058">
      <w:pPr>
        <w:spacing w:after="20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59">
      <w:pPr>
        <w:spacing w:after="20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9-3C  Obligation to notify Secretary of staff to care recipient ratios</w:t>
      </w:r>
    </w:p>
    <w:p w:rsidR="00000000" w:rsidDel="00000000" w:rsidP="00000000" w:rsidRDefault="00000000" w:rsidRPr="00000000" w14:paraId="0000005A">
      <w:pPr>
        <w:spacing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</w:t>
        <w:tab/>
        <w:t xml:space="preserve">An approved provider must, for each residential care service operated by the approved provider and for each day referred to in subsection (4), notify the Secretary of the ratio of: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before="200" w:line="240" w:lineRule="auto"/>
        <w:ind w:left="19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care recipients to whom residential care is being provided through that residential care service; to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240" w:lineRule="auto"/>
        <w:ind w:left="19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staff members of the approved provider who provide a service connected with that residential care service.</w:t>
      </w:r>
    </w:p>
    <w:p w:rsidR="00000000" w:rsidDel="00000000" w:rsidP="00000000" w:rsidRDefault="00000000" w:rsidRPr="00000000" w14:paraId="0000005D">
      <w:pPr>
        <w:spacing w:before="122" w:line="240" w:lineRule="auto"/>
        <w:ind w:left="2340" w:hanging="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Note: </w:t>
        <w:tab/>
        <w:t xml:space="preserve">Approved providers have a responsibility under Part 4.3 to comply with this obligation. Failure to comply with a responsibility can result in a sanction being imposed under Part 4.4. Information notified under this section is made publicly available (see section 86-9).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</w:t>
        <w:tab/>
        <w:t xml:space="preserve">The ratio must also be broken down into ratios for each category of staff member referred to in subsection (5).</w:t>
      </w:r>
    </w:p>
    <w:p w:rsidR="00000000" w:rsidDel="00000000" w:rsidP="00000000" w:rsidRDefault="00000000" w:rsidRPr="00000000" w14:paraId="0000005F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(3)</w:t>
        <w:tab/>
        <w:t xml:space="preserve">In counting staff members for the purposes of this section, part-time staff members are to be taken into account as an appropriate fraction of a full-time equivalent.</w:t>
      </w:r>
    </w:p>
    <w:p w:rsidR="00000000" w:rsidDel="00000000" w:rsidP="00000000" w:rsidRDefault="00000000" w:rsidRPr="00000000" w14:paraId="00000060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(4)</w:t>
        <w:tab/>
        <w:t xml:space="preserve">For the purposes of subsection (1), the days are the following: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before="200" w:line="240" w:lineRule="auto"/>
        <w:ind w:left="19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4 days, in each year, specified in the regulations; or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40" w:lineRule="auto"/>
        <w:ind w:left="19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no days are specified in the regulations for the purposes of paragraph (a)—each 1 January, 1 April, 1 July and 1 October.</w:t>
      </w:r>
    </w:p>
    <w:p w:rsidR="00000000" w:rsidDel="00000000" w:rsidP="00000000" w:rsidRDefault="00000000" w:rsidRPr="00000000" w14:paraId="00000063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(5)</w:t>
        <w:tab/>
        <w:t xml:space="preserve">For the purposes of subsection (2), the categories of staff members are the following: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before="20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registered nurses level 1;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registered nurses level 2;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registered nurses level 3;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registered nurses level 4;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registered nurses level 5;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enrolled nurses;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nurses with certificate IV or an equivalent qualification;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personal care attendants;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allied health staff;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staff members.</w:t>
      </w:r>
    </w:p>
    <w:p w:rsidR="00000000" w:rsidDel="00000000" w:rsidP="00000000" w:rsidRDefault="00000000" w:rsidRPr="00000000" w14:paraId="0000006E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(6)</w:t>
        <w:tab/>
        <w:t xml:space="preserve">A notification under subsection (1) must be made as soon as practicable after the day to which the notification relates.</w:t>
      </w:r>
    </w:p>
    <w:p w:rsidR="00000000" w:rsidDel="00000000" w:rsidP="00000000" w:rsidRDefault="00000000" w:rsidRPr="00000000" w14:paraId="0000006F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(7)</w:t>
        <w:tab/>
        <w:t xml:space="preserve">The notification must be in the form approved by the Secretary.</w:t>
      </w:r>
    </w:p>
    <w:p w:rsidR="00000000" w:rsidDel="00000000" w:rsidP="00000000" w:rsidRDefault="00000000" w:rsidRPr="00000000" w14:paraId="00000070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(8)</w:t>
        <w:tab/>
        <w:t xml:space="preserve">The notification may include an explanation by the approved provider in relation to any ratio notified. The explanation must not exceed 250 words total.</w:t>
      </w:r>
    </w:p>
    <w:p w:rsidR="00000000" w:rsidDel="00000000" w:rsidP="00000000" w:rsidRDefault="00000000" w:rsidRPr="00000000" w14:paraId="00000071">
      <w:pPr>
        <w:spacing w:before="122" w:line="240" w:lineRule="auto"/>
        <w:ind w:left="2340" w:hanging="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Note: </w:t>
        <w:tab/>
        <w:t xml:space="preserve">If an explanation is provided, the explanation will be made publicly available: see section 86-9.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before="180" w:line="24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(9)</w:t>
        <w:tab/>
        <w:t xml:space="preserve">If, between making notifications under subsection (1), there is a change of more than 10% in a ratio notified under that subsection, the approved provider must, within 28 days of that change, notify the Secretary of the charge.</w:t>
      </w:r>
    </w:p>
    <w:p w:rsidR="00000000" w:rsidDel="00000000" w:rsidP="00000000" w:rsidRDefault="00000000" w:rsidRPr="00000000" w14:paraId="00000073">
      <w:pPr>
        <w:spacing w:after="200" w:before="180" w:line="240" w:lineRule="auto"/>
        <w:ind w:left="1474.0157480314963" w:hanging="453.5433070866142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(10) In this section: staff member of an approved provider has the same meaning as in section 63-1AA.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  After subsection 86-9(1) </w:t>
      </w:r>
    </w:p>
    <w:p w:rsidR="00000000" w:rsidDel="00000000" w:rsidP="00000000" w:rsidRDefault="00000000" w:rsidRPr="00000000" w14:paraId="00000076">
      <w:pPr>
        <w:spacing w:after="20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Insert:</w:t>
      </w:r>
    </w:p>
    <w:p w:rsidR="00000000" w:rsidDel="00000000" w:rsidP="00000000" w:rsidRDefault="00000000" w:rsidRPr="00000000" w14:paraId="00000077">
      <w:pPr>
        <w:spacing w:after="200" w:before="180" w:line="240" w:lineRule="auto"/>
        <w:ind w:left="1474.0157480314963" w:hanging="453.5433070866142"/>
        <w:rPr>
          <w:rFonts w:ascii="Times New Roman" w:cs="Times New Roman" w:eastAsia="Times New Roman" w:hAnsi="Times New Roman"/>
        </w:rPr>
      </w:pPr>
      <w:bookmarkStart w:colFirst="0" w:colLast="0" w:name="_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(1A) The Secretary must make publicly available any information about staff to care recipient ratios of residential care services notified to the Secretary under section 9-3C.</w:t>
      </w:r>
    </w:p>
    <w:p w:rsidR="00000000" w:rsidDel="00000000" w:rsidP="00000000" w:rsidRDefault="00000000" w:rsidRPr="00000000" w14:paraId="0000007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  Subsection 86-9(2)</w:t>
      </w:r>
    </w:p>
    <w:p w:rsidR="00000000" w:rsidDel="00000000" w:rsidP="00000000" w:rsidRDefault="00000000" w:rsidRPr="00000000" w14:paraId="00000079">
      <w:pPr>
        <w:spacing w:after="20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After “(1)”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insert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“or (1A)”:</w:t>
      </w:r>
      <w:r w:rsidDel="00000000" w:rsidR="00000000" w:rsidRPr="00000000">
        <w:rPr>
          <w:rtl w:val="0"/>
        </w:rPr>
      </w:r>
    </w:p>
    <w:sectPr>
      <w:type w:val="continuous"/>
      <w:pgSz w:h="16838" w:w="11906"/>
      <w:pgMar w:bottom="3815.9999999999995" w:top="1440" w:left="2160" w:right="2160" w:header="1440" w:footer="3815.999999999999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spacing w:line="36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ab/>
      <w:tab/>
      <w:t xml:space="preserve">Aged Care Amendment (Staffing Ratio  Disclosure) Act 2019 </w:t>
      <w:tab/>
      <w:t xml:space="preserve">No.     , 2019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(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lowerLetter"/>
      <w:lvlText w:val="(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