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6.614173228344953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</w:rPr>
        <w:drawing>
          <wp:inline distB="114300" distT="114300" distL="114300" distR="114300">
            <wp:extent cx="150495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6.614173228344953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Australian Securities and Investments Commission (Authorised Deposit-taking Institutions) Direction 2019</w:t>
      </w:r>
    </w:p>
    <w:p w:rsidR="00000000" w:rsidDel="00000000" w:rsidP="00000000" w:rsidRDefault="00000000" w:rsidRPr="00000000" w14:paraId="00000003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FinePorpoise, Minister for Finance, give the following direction to the Australian Securities and Investments Commission.</w:t>
      </w:r>
    </w:p>
    <w:p w:rsidR="00000000" w:rsidDel="00000000" w:rsidP="00000000" w:rsidRDefault="00000000" w:rsidRPr="00000000" w14:paraId="00000007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Dated</w:t>
        <w:tab/>
        <w:t xml:space="preserve">26 May 2019</w:t>
      </w:r>
    </w:p>
    <w:p w:rsidR="00000000" w:rsidDel="00000000" w:rsidP="00000000" w:rsidRDefault="00000000" w:rsidRPr="00000000" w14:paraId="0000000C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FinePorpoise</w:t>
      </w:r>
    </w:p>
    <w:p w:rsidR="00000000" w:rsidDel="00000000" w:rsidP="00000000" w:rsidRDefault="00000000" w:rsidRPr="00000000" w14:paraId="00000018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Minister for Finance</w:t>
      </w:r>
    </w:p>
    <w:p w:rsidR="00000000" w:rsidDel="00000000" w:rsidP="00000000" w:rsidRDefault="00000000" w:rsidRPr="00000000" w14:paraId="00000019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Times New Roman" w:cs="Times New Roman" w:eastAsia="Times New Roman" w:hAnsi="Times New Roman"/>
        </w:rPr>
        <w:sectPr>
          <w:footerReference r:id="rId7" w:type="default"/>
          <w:footerReference r:id="rId8" w:type="first"/>
          <w:pgSz w:h="16838" w:w="11906"/>
          <w:pgMar w:bottom="3815.9999999999995" w:top="1440" w:left="2160" w:right="2160" w:header="1440" w:footer="3815.9999999999995"/>
          <w:pgNumType w:start="0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1 - Preliminary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 Name…...………………………………………….………………………………..2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2 Commencement…………………………………..…………..………….................2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3 Authority.…………………………………………………………………………...2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4 Definitions………….……………………………………………………………....2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2 - Direction to limit the transaction of certain securities</w:t>
      </w:r>
    </w:p>
    <w:p w:rsidR="00000000" w:rsidDel="00000000" w:rsidP="00000000" w:rsidRDefault="00000000" w:rsidRPr="00000000" w14:paraId="00000023">
      <w:pPr>
        <w:spacing w:line="276" w:lineRule="auto"/>
        <w:ind w:left="72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 Direction to freeze the transaction of certain securities…………………………...4</w:t>
      </w:r>
    </w:p>
    <w:p w:rsidR="00000000" w:rsidDel="00000000" w:rsidP="00000000" w:rsidRDefault="00000000" w:rsidRPr="00000000" w14:paraId="00000024">
      <w:pPr>
        <w:ind w:left="72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enf6188uhhy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6gtgumr9ass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kp5wb6v4ejr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Part 1—Preliminary</w:t>
      </w:r>
    </w:p>
    <w:p w:rsidR="00000000" w:rsidDel="00000000" w:rsidP="00000000" w:rsidRDefault="00000000" w:rsidRPr="00000000" w14:paraId="00000029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 Name </w:t>
      </w:r>
    </w:p>
    <w:p w:rsidR="00000000" w:rsidDel="00000000" w:rsidP="00000000" w:rsidRDefault="00000000" w:rsidRPr="00000000" w14:paraId="0000002A">
      <w:pPr>
        <w:spacing w:before="180" w:line="240" w:lineRule="auto"/>
        <w:ind w:left="1134"/>
        <w:rPr>
          <w:rFonts w:ascii="Times New Roman" w:cs="Times New Roman" w:eastAsia="Times New Roman" w:hAnsi="Times New Roman"/>
        </w:rPr>
      </w:pPr>
      <w:bookmarkStart w:colFirst="0" w:colLast="0" w:name="_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This instrument is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Australian Securities and Investments Commission (Authorised Deposit-taking Institutions) Direction 2019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 Commencement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180"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provision of this instrument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2D">
      <w:pPr>
        <w:spacing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10.999999999999" w:type="dxa"/>
        <w:jc w:val="left"/>
        <w:tblInd w:w="107.0" w:type="pct"/>
        <w:tblLayout w:type="fixed"/>
        <w:tblLook w:val="0000"/>
      </w:tblPr>
      <w:tblGrid>
        <w:gridCol w:w="1701"/>
        <w:gridCol w:w="3828"/>
        <w:gridCol w:w="1582"/>
        <w:tblGridChange w:id="0">
          <w:tblGrid>
            <w:gridCol w:w="1701"/>
            <w:gridCol w:w="3828"/>
            <w:gridCol w:w="1582"/>
          </w:tblGrid>
        </w:tblGridChange>
      </w:tblGrid>
      <w:tr>
        <w:tc>
          <w:tcPr>
            <w:gridSpan w:val="3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Commencement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Provision(s)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Commencement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1"/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Date/Details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 The whole of this instrument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June 2019.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before="122" w:line="240" w:lineRule="auto"/>
        <w:ind w:left="2340" w:hanging="90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Note: </w:t>
        <w:tab/>
        <w:t xml:space="preserve">This table relates only to the provisions of this instrument as originally enacted. It will not be amended to deal with any later amendments of this instrument.</w:t>
      </w:r>
    </w:p>
    <w:p w:rsidR="00000000" w:rsidDel="00000000" w:rsidP="00000000" w:rsidRDefault="00000000" w:rsidRPr="00000000" w14:paraId="0000003B">
      <w:pPr>
        <w:spacing w:before="18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znysh7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</w:t>
        <w:tab/>
        <w:t xml:space="preserve">Any information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column 3 of the table is not part of this instrument. Information may be inserted in this column, or information in it may be edited, in any published version of this 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8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fiz279nqouc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 Authority</w:t>
      </w:r>
    </w:p>
    <w:p w:rsidR="00000000" w:rsidDel="00000000" w:rsidP="00000000" w:rsidRDefault="00000000" w:rsidRPr="00000000" w14:paraId="0000003D">
      <w:pPr>
        <w:spacing w:before="180" w:line="240" w:lineRule="auto"/>
        <w:ind w:left="1440" w:hanging="1140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48whfvylo3w1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instrument is made under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Australian Securities and Investments Commission Act 2001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 Definitions</w:t>
      </w:r>
    </w:p>
    <w:p w:rsidR="00000000" w:rsidDel="00000000" w:rsidP="00000000" w:rsidRDefault="00000000" w:rsidRPr="00000000" w14:paraId="0000003F">
      <w:pPr>
        <w:spacing w:before="180" w:line="240" w:lineRule="auto"/>
        <w:ind w:left="1440" w:hanging="1140"/>
        <w:rPr>
          <w:rFonts w:ascii="Times New Roman" w:cs="Times New Roman" w:eastAsia="Times New Roman" w:hAnsi="Times New Roman"/>
          <w:u w:val="single"/>
        </w:rPr>
      </w:pPr>
      <w:bookmarkStart w:colFirst="0" w:colLast="0" w:name="_tyjcwt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In this instrument: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means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Australian Securities and Investments Commission Act 2001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Authorised deposit-taking institution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the meaning found in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Banking Act 1959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Asset threshold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means gross assets equivalent in value to two-hundred and fifty billion dollars.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gtgumr9ass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Part 2—Direction to limit the transaction of certain securities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spacing w:before="280" w:line="240" w:lineRule="auto"/>
        <w:ind w:left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 Direction to limit the transaction of certain securities</w:t>
      </w:r>
    </w:p>
    <w:p w:rsidR="00000000" w:rsidDel="00000000" w:rsidP="00000000" w:rsidRDefault="00000000" w:rsidRPr="00000000" w14:paraId="00000042">
      <w:pPr>
        <w:keepNext w:val="1"/>
        <w:keepLines w:val="1"/>
        <w:spacing w:before="280" w:line="276" w:lineRule="auto"/>
        <w:ind w:left="1440" w:hanging="11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 section 12 of the Act, the Australian Securities and Investments Commission is directed to:</w:t>
        <w:br w:type="textWrapping"/>
        <w:t xml:space="preserve">(a) identify entities which have equity transacted on a financial </w:t>
        <w:tab/>
        <w:tab/>
        <w:t xml:space="preserve">market, are authorised deposit-taking institutions, and who </w:t>
        <w:tab/>
        <w:t xml:space="preserve">exceed the asset threshold; and</w:t>
        <w:br w:type="textWrapping"/>
        <w:t xml:space="preserve">(b) cease, or substantially diminish, the transactions of securities </w:t>
        <w:tab/>
        <w:tab/>
        <w:t xml:space="preserve">from entities identified by the parameters in (a) through the </w:t>
        <w:tab/>
        <w:t xml:space="preserve">implementation of new, prohibitive market license </w:t>
        <w:tab/>
        <w:tab/>
        <w:t xml:space="preserve">requirements and the institution of a stop-order on securities </w:t>
        <w:tab/>
        <w:t xml:space="preserve">transactions pertaining to the relevant entities; and</w:t>
        <w:br w:type="textWrapping"/>
        <w:t xml:space="preserve">(c) grant an exemption to the Australian government and entities under its control for the </w:t>
        <w:tab/>
        <w:t xml:space="preserve">requirements stated in (b), but no other entity.</w:t>
      </w:r>
      <w:r w:rsidDel="00000000" w:rsidR="00000000" w:rsidRPr="00000000">
        <w:rPr>
          <w:rtl w:val="0"/>
        </w:rPr>
      </w:r>
    </w:p>
    <w:sectPr>
      <w:type w:val="continuous"/>
      <w:pgSz w:h="16838" w:w="11906"/>
      <w:pgMar w:bottom="3815.9999999999995" w:top="1440" w:left="2160" w:right="2160" w:header="1440" w:footer="3815.999999999999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36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ab/>
      <w:tab/>
      <w:t xml:space="preserve">ASIC (Authorised Deposit-taking Institutions) Direction 2019 </w:t>
      <w:tab/>
      <w:tab/>
      <w:t xml:space="preserve">2019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